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E3" w:rsidRDefault="000C5BE3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</w:pPr>
      <w:r w:rsidRPr="000C5BE3"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  <w:t>Федеральный закон от 23.11.2009 N 261-ФЗ (ред. от 29.07.2017) Об энергосбережении и о повышении энергетической эффективности</w:t>
      </w:r>
    </w:p>
    <w:p w:rsidR="000C5BE3" w:rsidRDefault="000C5BE3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</w:pPr>
    </w:p>
    <w:p w:rsidR="00D80461" w:rsidRPr="00D80461" w:rsidRDefault="00D80461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  <w:t>Статья 11. Обеспечение энергетической эффективности зданий, строений, сооружений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1. Здания, строения, сооружения, за исключением указанных в </w:t>
      </w:r>
      <w:hyperlink r:id="rId4" w:anchor="dst100113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части 5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настоящей статьи зданий, строений, сооружений, должны соответствовать требованиям энергетической эффективности, установленным уполномоченным федеральным органом исполнительной власти в соответствии с </w:t>
      </w:r>
      <w:hyperlink r:id="rId5" w:anchor="dst100014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правилами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, утвержденными Правительством Российской Федерации. Правительство Российской Федерации вправе установить в указанных правилах первоочередные требования энергетической эффективности.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2. Требования энергетической эффективности зданий, строений, сооружений должны включать в себя: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1) </w:t>
      </w:r>
      <w:hyperlink r:id="rId6" w:anchor="dst100031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показатели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, характеризующие удельную величину расхода энергетических ресурсов в здании, строении, сооружении;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2)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3) </w:t>
      </w:r>
      <w:hyperlink r:id="rId7" w:anchor="dst100011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требования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и в процессе их эксплуатации.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3. В составе требований энергетической эффективности зданий, строений, сооружений должны быть определены требования, которым здание, строение, сооружение должны соответствовать при вводе в эксплуатацию и в процессе эксплуатации, с указанием лиц, обеспечивающих выполнение таких требований (застройщика, собственника здания, строения, сооружения), а также сроки, в течение которых выполнение таких требований должно быть обеспечено. При этом срок, в течение которого выполнение таких требований должно быть обеспечено застройщиком, должен составлять не менее чем пять лет с момента ввода в эксплуатацию здания, строения, сооружения.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4. Требования энергетической эффективности зданий, строений, сооружений подлежат пересмотру не реже чем один раз в пять лет в целях повышения энергетической эффективности зданий, строений, сооружений.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5. Требования энергетической эффективности не распространяются на следующие здания, строения, сооружения: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1) культовые здания, строения, сооружения;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2) здания, строения, сооружения, которые в соответствии с </w:t>
      </w:r>
      <w:hyperlink r:id="rId8" w:anchor="dst100026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законодательством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Российской Федерации отнесены к объектам культурного наследия (памятникам истории и культуры);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3) временные постройки, срок службы которых составляет менее чем два года;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4)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5) строения, сооружения вспомогательного использования;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6) отдельно стоящие здания, строения, сооружения, общая площадь которых составляет менее чем пятьдесят квадратных метров;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7) иные определенные Правительством Российской Федерации здания, строения, сооружения.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6. Не допускается ввод в эксплуатацию зданий, строений, сооружений, построенных, реконструированных,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7.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Застройщики обязаны обеспечить соответствие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реконструкции, капитального ремонта.</w:t>
      </w:r>
      <w:proofErr w:type="gramEnd"/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8.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 </w:t>
      </w:r>
      <w:hyperlink r:id="rId9" w:anchor="dst11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органом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государственного строительного надзора при осуществлении государственного строительного </w:t>
      </w:r>
      <w:hyperlink r:id="rId10" w:anchor="dst100871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надзора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. В иных случаях контроль и подтверждение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застройщиком.</w:t>
      </w:r>
      <w:proofErr w:type="gramEnd"/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9.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Собственники зданий, строений, сооружений, собственники помещений в многоквартирных домах обязаны обеспечивать соответствие зданий, строений, сооружений,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(за исключением требований, обеспечение выполнения которых в соответствии с настоящим Федеральным законом возложено на других лиц) в течение всего срока их службы путем организации их надлежащей эксплуатации и своевременного устранения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выявленных несоответствий.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10.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В случае выявления факта несоответствия здания, строения, сооружения или их отдельных элементов, их конструкций требованиям энергетической эффективности и (или) требованиям их оснащенности приборами учета используемых энергетических ресурсов, возникшего вследствие несоблюдения застройщиком данных требований, собственник здания, строения или сооружения,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</w:t>
      </w: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lastRenderedPageBreak/>
        <w:t>несоответствия или возмещения произведенных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ими расходов на устранение выявленного несоответствия. Такое требование может быть предъявлено застройщику в случае выявления указанного факта несоответствия в период, в течение которого согласно требованиям энергетической эффективности их соблюдение должно быть обеспечено при проектировании, строительстве, реконструкции, капитальном ремонте здания, строения, сооружения.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D80461" w:rsidRDefault="00D80461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</w:pPr>
    </w:p>
    <w:p w:rsidR="00D80461" w:rsidRPr="00D80461" w:rsidRDefault="00D80461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  <w:t>Статья 12. Обеспечение энергосбережения и повышения энергетической эффективности в жилищном фонде, в садоводческих, огороднических и дачных некоммерческих объединениях граждан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dst100127"/>
      <w:bookmarkEnd w:id="0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1.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Класс энергетической эффективности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 </w:t>
      </w:r>
      <w:proofErr w:type="spellStart"/>
      <w:r w:rsidR="00AB4F17" w:rsidRPr="00D80461">
        <w:rPr>
          <w:rFonts w:ascii="Arial" w:eastAsia="Times New Roman" w:hAnsi="Arial" w:cs="Arial"/>
          <w:color w:val="000000"/>
          <w:sz w:val="17"/>
          <w:lang w:eastAsia="ru-RU"/>
        </w:rPr>
        <w:fldChar w:fldCharType="begin"/>
      </w: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instrText xml:space="preserve"> HYPERLINK "http://www.consultant.ru/document/cons_doc_LAW_203089/" \l "dst100012" </w:instrText>
      </w:r>
      <w:r w:rsidR="00AB4F17" w:rsidRPr="00D80461">
        <w:rPr>
          <w:rFonts w:ascii="Arial" w:eastAsia="Times New Roman" w:hAnsi="Arial" w:cs="Arial"/>
          <w:color w:val="000000"/>
          <w:sz w:val="17"/>
          <w:lang w:eastAsia="ru-RU"/>
        </w:rPr>
        <w:fldChar w:fldCharType="separate"/>
      </w:r>
      <w:r w:rsidRPr="00D80461">
        <w:rPr>
          <w:rFonts w:ascii="Arial" w:eastAsia="Times New Roman" w:hAnsi="Arial" w:cs="Arial"/>
          <w:color w:val="666699"/>
          <w:sz w:val="17"/>
          <w:lang w:eastAsia="ru-RU"/>
        </w:rPr>
        <w:t>правилами</w:t>
      </w:r>
      <w:r w:rsidR="00AB4F17" w:rsidRPr="00D80461">
        <w:rPr>
          <w:rFonts w:ascii="Arial" w:eastAsia="Times New Roman" w:hAnsi="Arial" w:cs="Arial"/>
          <w:color w:val="000000"/>
          <w:sz w:val="17"/>
          <w:lang w:eastAsia="ru-RU"/>
        </w:rPr>
        <w:fldChar w:fldCharType="end"/>
      </w: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определения</w:t>
      </w:r>
      <w:proofErr w:type="spell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класса энергетической эффективности многоквартирных домов, </w:t>
      </w:r>
      <w:hyperlink r:id="rId11" w:anchor="dst100054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требования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к которым устанавливаются Правительством Российской Федерации.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Класс энергетической эффективности вводимого в эксплуатацию многоквартирного дома указывается в заключени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и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органа государственного строительного надзора о соответствии построенного, реконструированного, прошедшего капитальный ремонт многоквартирного дома также требованиям энергетической эффективности.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" w:name="dst100128"/>
      <w:bookmarkEnd w:id="1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2. Застройщик обязан разместить на фасаде вводимого в эксплуатацию многоквартирного дома указатель класса его энергетической эффективности.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указателя. </w:t>
      </w:r>
      <w:hyperlink r:id="rId12" w:anchor="dst100172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Требования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к указателю класса энергетической эффективности многоквартирного дома устанавливаются уполномоченным федеральным органом исполнительной власти.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" w:name="dst22"/>
      <w:bookmarkEnd w:id="2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3.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При осуществлении государственного жилищного надзора за соответствием многоквартирного дома, которому при вводе в эксплуатацию присвоен класс энергетической эффективности, требованиям энергетической эффективности в процессе эксплуатации многоквартирного дома орган исполнительной власти субъекта Российской Федерации, уполномоченный на осуществление указанного надзора при проведении проверки соблюдения </w:t>
      </w:r>
      <w:hyperlink r:id="rId13" w:anchor="dst100021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правил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содержания общего имущества собственников помещений в многоквартирном доме, определяет класс энергетической эффективности многоквартирного дома исходя из текущих значений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самоуправления, осуществляющий ведение информационной системы обеспечения градостроительной деятельности.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3" w:name="dst100130"/>
      <w:bookmarkEnd w:id="3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4.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дома. В соответствии с </w:t>
      </w:r>
      <w:hyperlink r:id="rId14" w:anchor="dst100010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принципами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, установленными Правительством Российской Федерации,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Лицо, ответственное за содержание многоквартирного дома,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эффективности,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за исключением случаев проведения указанных мероприятий ранее и сохранения результатов их проведения.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Собственники помещений в многоквартирном доме обязаны нести расходы на проведение указанных мероприятий.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В целях снижения расходов на проведение указанных мероприятий собственники помещений в многоквартирном доме вправе требовать от лица, ответственного за содержание многоквартирного дома, осуществления действий, направленных на снижение объема используемых в многоквартирном доме энергетических ресурсов, и (или) заключения этим лицом </w:t>
      </w:r>
      <w:proofErr w:type="spell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энергосервисного</w:t>
      </w:r>
      <w:proofErr w:type="spell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hyperlink r:id="rId15" w:anchor="dst100012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договора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(контракта), обеспечивающего снижение объема используемых в многоквартирном доме энергетических ресурсов.</w:t>
      </w:r>
      <w:proofErr w:type="gramEnd"/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" w:name="dst100131"/>
      <w:bookmarkEnd w:id="4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5.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обязана предлагать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энергетических ресурсов и повышению энергетической эффективности их использования. В данном перечне мероприятий должно содержаться указание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на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: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5" w:name="dst100132"/>
      <w:bookmarkEnd w:id="5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1) необязательность таких мероприятий для проведения их лицами, которым данный перечень мероприятий адресован;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6" w:name="dst100133"/>
      <w:bookmarkEnd w:id="6"/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2) возможность проведения этой организацией отдельных мероприятий из числа указанных в данном перечне мероприятий за счет средств, учитываемых при установлении регулируемых цен (тарифов) на ее товары, услуги, а также за счет средств собственников помещений в многоквартирном доме, в том числе на основании </w:t>
      </w:r>
      <w:proofErr w:type="spell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энергосервисного</w:t>
      </w:r>
      <w:proofErr w:type="spell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договора (контракта), и прогнозируемую стоимость проведения таких отдельных мероприятий;</w:t>
      </w:r>
      <w:proofErr w:type="gramEnd"/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7" w:name="dst100134"/>
      <w:bookmarkEnd w:id="7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lastRenderedPageBreak/>
        <w:t>3) определяемых на основании общедоступных источников возможных исполнителей мероприятий, указанных в данном перечне мероприятий и не проводимых этой организацией.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" w:name="dst100135"/>
      <w:bookmarkEnd w:id="8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6.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Перечень мероприятий должен быть доведен организацией, осуществляющей поставки, продажу энергетических ресурсов, до сведения собственников помещений в многоквартирном доме, лица, ответственного за содержание многоквартирного дома,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доме, а также иными способами по усмотрению этой организации.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Примерная </w:t>
      </w:r>
      <w:hyperlink r:id="rId16" w:anchor="dst100005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форма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перечня таких мероприятий утверждается уполномоченным федеральным органом исполнительной власти.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9" w:name="dst100136"/>
      <w:bookmarkEnd w:id="9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7.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  <w:proofErr w:type="gramEnd"/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0" w:name="dst100137"/>
      <w:bookmarkEnd w:id="10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8.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В отопительный сезон лицо, ответственное за содержание 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правил.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Если расчеты за потребляемую в многоквартирном доме тепловую энергию осуществляются с учетом величины тепловой 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энергии.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1" w:name="dst100607"/>
      <w:bookmarkEnd w:id="11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9. </w:t>
      </w:r>
      <w:proofErr w:type="gramStart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Органы исполнительной власти субъектов Российской Федерации, уполномоченные на осуществление государственного жилищного надзора, по результатам проведенных проверок соблюдения </w:t>
      </w:r>
      <w:hyperlink r:id="rId17" w:anchor="dst100021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правил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содержания общего имущества собственников помещений в многоквартирном доме регулярно (не реже чем один раз в год) обязаны информировать население о лицах,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</w:t>
      </w:r>
      <w:proofErr w:type="gramEnd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 xml:space="preserve"> эффективности, путем размещения информации в средствах массовой информации.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2" w:name="dst100139"/>
      <w:bookmarkEnd w:id="12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10.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3" w:name="dst100140"/>
      <w:bookmarkEnd w:id="13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11.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граждан.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955561" w:rsidRDefault="00955561" w:rsidP="005C1F8E">
      <w:pPr>
        <w:pStyle w:val="1"/>
        <w:shd w:val="clear" w:color="auto" w:fill="FFFFFF"/>
        <w:spacing w:before="0" w:beforeAutospacing="0" w:after="144" w:afterAutospacing="0" w:line="208" w:lineRule="atLeast"/>
        <w:ind w:firstLine="54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hl"/>
          <w:rFonts w:ascii="Arial" w:hAnsi="Arial" w:cs="Arial"/>
          <w:color w:val="000000"/>
          <w:sz w:val="17"/>
          <w:szCs w:val="17"/>
        </w:rPr>
        <w:t>Статья 28. Государственный контроль (надзор) за соблюдением требований законодательства об энергосбережении и о повышении энергетической эффективности</w:t>
      </w:r>
      <w:r>
        <w:rPr>
          <w:rStyle w:val="blk"/>
          <w:rFonts w:ascii="Arial" w:hAnsi="Arial" w:cs="Arial"/>
          <w:color w:val="000000"/>
          <w:sz w:val="17"/>
          <w:szCs w:val="17"/>
        </w:rPr>
        <w:t> </w:t>
      </w:r>
    </w:p>
    <w:p w:rsidR="00955561" w:rsidRDefault="00955561" w:rsidP="00955561">
      <w:pPr>
        <w:shd w:val="clear" w:color="auto" w:fill="FFFFFF"/>
        <w:spacing w:line="208" w:lineRule="atLeast"/>
        <w:ind w:firstLine="547"/>
        <w:jc w:val="both"/>
        <w:rPr>
          <w:rFonts w:ascii="Arial" w:hAnsi="Arial" w:cs="Arial"/>
          <w:color w:val="000000"/>
          <w:sz w:val="17"/>
          <w:szCs w:val="17"/>
        </w:rPr>
      </w:pPr>
      <w:bookmarkStart w:id="14" w:name="dst100612"/>
      <w:bookmarkEnd w:id="14"/>
      <w:r>
        <w:rPr>
          <w:rStyle w:val="blk"/>
          <w:rFonts w:ascii="Arial" w:hAnsi="Arial" w:cs="Arial"/>
          <w:color w:val="000000"/>
          <w:sz w:val="17"/>
          <w:szCs w:val="17"/>
        </w:rPr>
        <w:t xml:space="preserve">1. </w:t>
      </w:r>
      <w:proofErr w:type="gramStart"/>
      <w:r>
        <w:rPr>
          <w:rStyle w:val="blk"/>
          <w:rFonts w:ascii="Arial" w:hAnsi="Arial" w:cs="Arial"/>
          <w:color w:val="000000"/>
          <w:sz w:val="17"/>
          <w:szCs w:val="17"/>
        </w:rPr>
        <w:t>Государственный контроль (надзор) за соблюдением </w:t>
      </w:r>
      <w:hyperlink r:id="rId18" w:anchor="dst102399" w:history="1">
        <w:r>
          <w:rPr>
            <w:rStyle w:val="a3"/>
            <w:rFonts w:ascii="Arial" w:hAnsi="Arial" w:cs="Arial"/>
            <w:color w:val="666699"/>
            <w:sz w:val="17"/>
            <w:szCs w:val="17"/>
            <w:u w:val="none"/>
          </w:rPr>
          <w:t>требований</w:t>
        </w:r>
      </w:hyperlink>
      <w:r>
        <w:rPr>
          <w:rStyle w:val="blk"/>
          <w:rFonts w:ascii="Arial" w:hAnsi="Arial" w:cs="Arial"/>
          <w:color w:val="000000"/>
          <w:sz w:val="17"/>
          <w:szCs w:val="17"/>
        </w:rPr>
        <w:t> законодательства об энергосбережении и о повышении энергетической эффективности </w:t>
      </w:r>
      <w:hyperlink r:id="rId19" w:anchor="dst100009" w:history="1">
        <w:r>
          <w:rPr>
            <w:rStyle w:val="a3"/>
            <w:rFonts w:ascii="Arial" w:hAnsi="Arial" w:cs="Arial"/>
            <w:color w:val="666699"/>
            <w:sz w:val="17"/>
            <w:szCs w:val="17"/>
            <w:u w:val="none"/>
          </w:rPr>
          <w:t>осуществляется</w:t>
        </w:r>
      </w:hyperlink>
      <w:r>
        <w:rPr>
          <w:rStyle w:val="blk"/>
          <w:rFonts w:ascii="Arial" w:hAnsi="Arial" w:cs="Arial"/>
          <w:color w:val="000000"/>
          <w:sz w:val="17"/>
          <w:szCs w:val="17"/>
        </w:rPr>
        <w:t> уполномоченными федеральными органами исполнительной власти (федеральный государственный контроль (надзор) и органами исполнительной власти субъектов Российской Федерации (региональный государственный контроль (надзор) согласно их компетенции в </w:t>
      </w:r>
      <w:hyperlink r:id="rId20" w:anchor="dst3" w:history="1">
        <w:r>
          <w:rPr>
            <w:rStyle w:val="a3"/>
            <w:rFonts w:ascii="Arial" w:hAnsi="Arial" w:cs="Arial"/>
            <w:color w:val="666699"/>
            <w:sz w:val="17"/>
            <w:szCs w:val="17"/>
            <w:u w:val="none"/>
          </w:rPr>
          <w:t>порядке</w:t>
        </w:r>
      </w:hyperlink>
      <w:r>
        <w:rPr>
          <w:rStyle w:val="blk"/>
          <w:rFonts w:ascii="Arial" w:hAnsi="Arial" w:cs="Arial"/>
          <w:color w:val="000000"/>
          <w:sz w:val="17"/>
          <w:szCs w:val="17"/>
        </w:rP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  <w:proofErr w:type="gramEnd"/>
    </w:p>
    <w:p w:rsidR="00955561" w:rsidRDefault="00955561" w:rsidP="00955561">
      <w:pPr>
        <w:shd w:val="clear" w:color="auto" w:fill="FFFFFF"/>
        <w:spacing w:line="208" w:lineRule="atLeast"/>
        <w:ind w:firstLine="547"/>
        <w:jc w:val="both"/>
        <w:rPr>
          <w:rFonts w:ascii="Arial" w:hAnsi="Arial" w:cs="Arial"/>
          <w:color w:val="000000"/>
          <w:sz w:val="17"/>
          <w:szCs w:val="17"/>
        </w:rPr>
      </w:pPr>
      <w:bookmarkStart w:id="15" w:name="dst100613"/>
      <w:bookmarkEnd w:id="15"/>
      <w:r>
        <w:rPr>
          <w:rStyle w:val="blk"/>
          <w:rFonts w:ascii="Arial" w:hAnsi="Arial" w:cs="Arial"/>
          <w:color w:val="000000"/>
          <w:sz w:val="17"/>
          <w:szCs w:val="17"/>
        </w:rPr>
        <w:t xml:space="preserve">2. </w:t>
      </w:r>
      <w:proofErr w:type="gramStart"/>
      <w:r>
        <w:rPr>
          <w:rStyle w:val="blk"/>
          <w:rFonts w:ascii="Arial" w:hAnsi="Arial" w:cs="Arial"/>
          <w:color w:val="000000"/>
          <w:sz w:val="17"/>
          <w:szCs w:val="17"/>
        </w:rPr>
        <w:t>К отношениям, связанным с осуществлением государственного контроля (надзора) за соблюдением требований законодательства об энергосбережении и о повышении энергетической эффективности, организацией и проведением проверок юридических лиц, индивидуальных предпринимателей, применяются положения Федерального </w:t>
      </w:r>
      <w:hyperlink r:id="rId21" w:history="1">
        <w:r>
          <w:rPr>
            <w:rStyle w:val="a3"/>
            <w:rFonts w:ascii="Arial" w:hAnsi="Arial" w:cs="Arial"/>
            <w:color w:val="666699"/>
            <w:sz w:val="17"/>
            <w:szCs w:val="17"/>
            <w:u w:val="none"/>
          </w:rPr>
          <w:t>закона</w:t>
        </w:r>
      </w:hyperlink>
      <w:r>
        <w:rPr>
          <w:rStyle w:val="blk"/>
          <w:rFonts w:ascii="Arial" w:hAnsi="Arial" w:cs="Arial"/>
          <w:color w:val="000000"/>
          <w:sz w:val="17"/>
          <w:szCs w:val="17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955561" w:rsidRDefault="00955561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</w:pPr>
    </w:p>
    <w:p w:rsidR="00D80461" w:rsidRPr="00D80461" w:rsidRDefault="00D80461" w:rsidP="00D80461">
      <w:pPr>
        <w:shd w:val="clear" w:color="auto" w:fill="FFFFFF"/>
        <w:spacing w:after="144" w:line="208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b/>
          <w:bCs/>
          <w:color w:val="000000"/>
          <w:kern w:val="36"/>
          <w:sz w:val="17"/>
          <w:lang w:eastAsia="ru-RU"/>
        </w:rPr>
        <w:t>Статья 29. Ответственность за нарушение законодательства об энергосбережении и о повышении энергетической эффективности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D80461" w:rsidRPr="00D80461" w:rsidRDefault="00D80461" w:rsidP="00D80461">
      <w:pPr>
        <w:shd w:val="clear" w:color="auto" w:fill="FFFFFF"/>
        <w:spacing w:after="0" w:line="208" w:lineRule="atLeast"/>
        <w:ind w:firstLine="54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6" w:name="dst100355"/>
      <w:bookmarkEnd w:id="16"/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Лица, виновные в нарушении законодательства об энергосбережении и о повышении энергетической эффективности, несут дисциплинарную, гражданскую, </w:t>
      </w:r>
      <w:hyperlink r:id="rId22" w:anchor="dst2003" w:history="1">
        <w:r w:rsidRPr="00D80461">
          <w:rPr>
            <w:rFonts w:ascii="Arial" w:eastAsia="Times New Roman" w:hAnsi="Arial" w:cs="Arial"/>
            <w:color w:val="666699"/>
            <w:sz w:val="17"/>
            <w:lang w:eastAsia="ru-RU"/>
          </w:rPr>
          <w:t>административную</w:t>
        </w:r>
      </w:hyperlink>
      <w:r w:rsidRPr="00D80461">
        <w:rPr>
          <w:rFonts w:ascii="Arial" w:eastAsia="Times New Roman" w:hAnsi="Arial" w:cs="Arial"/>
          <w:color w:val="000000"/>
          <w:sz w:val="17"/>
          <w:lang w:eastAsia="ru-RU"/>
        </w:rPr>
        <w:t> ответственность в соответствии с законодательством Российской Федерации.</w:t>
      </w:r>
    </w:p>
    <w:p w:rsidR="00284809" w:rsidRDefault="00284809"/>
    <w:sectPr w:rsidR="00284809" w:rsidSect="0028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0461"/>
    <w:rsid w:val="000C5BE3"/>
    <w:rsid w:val="00284809"/>
    <w:rsid w:val="005C1F8E"/>
    <w:rsid w:val="005F7A26"/>
    <w:rsid w:val="00946214"/>
    <w:rsid w:val="00955561"/>
    <w:rsid w:val="00AB4F17"/>
    <w:rsid w:val="00C76E8B"/>
    <w:rsid w:val="00D8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09"/>
  </w:style>
  <w:style w:type="paragraph" w:styleId="1">
    <w:name w:val="heading 1"/>
    <w:basedOn w:val="a"/>
    <w:link w:val="10"/>
    <w:uiPriority w:val="9"/>
    <w:qFormat/>
    <w:rsid w:val="00D80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80461"/>
  </w:style>
  <w:style w:type="character" w:customStyle="1" w:styleId="hl">
    <w:name w:val="hl"/>
    <w:basedOn w:val="a0"/>
    <w:rsid w:val="00D80461"/>
  </w:style>
  <w:style w:type="character" w:styleId="a3">
    <w:name w:val="Hyperlink"/>
    <w:basedOn w:val="a0"/>
    <w:uiPriority w:val="99"/>
    <w:semiHidden/>
    <w:unhideWhenUsed/>
    <w:rsid w:val="00D80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6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694">
          <w:marLeft w:val="0"/>
          <w:marRight w:val="0"/>
          <w:marTop w:val="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797652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32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34406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497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99945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01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6084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997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0465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57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0083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8/8aa9478dba49e6a5c251a3332d51e78e4839a9d8/" TargetMode="External"/><Relationship Id="rId13" Type="http://schemas.openxmlformats.org/officeDocument/2006/relationships/hyperlink" Target="http://www.consultant.ru/document/cons_doc_LAW_62293/acf1e29f7c0d593ace6ea1bdfea8b48b5fc87a70/" TargetMode="External"/><Relationship Id="rId18" Type="http://schemas.openxmlformats.org/officeDocument/2006/relationships/hyperlink" Target="http://www.consultant.ru/document/cons_doc_LAW_20602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83079/" TargetMode="External"/><Relationship Id="rId7" Type="http://schemas.openxmlformats.org/officeDocument/2006/relationships/hyperlink" Target="http://www.consultant.ru/document/Cons_doc_LAW_101789/8e05c82dc7442417550d4d3b5a816ab20952aba9/" TargetMode="External"/><Relationship Id="rId12" Type="http://schemas.openxmlformats.org/officeDocument/2006/relationships/hyperlink" Target="http://www.consultant.ru/document/cons_doc_LAW_203089/" TargetMode="External"/><Relationship Id="rId17" Type="http://schemas.openxmlformats.org/officeDocument/2006/relationships/hyperlink" Target="http://www.consultant.ru/document/cons_doc_LAW_62293/acf1e29f7c0d593ace6ea1bdfea8b48b5fc87a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13242/" TargetMode="External"/><Relationship Id="rId20" Type="http://schemas.openxmlformats.org/officeDocument/2006/relationships/hyperlink" Target="http://www.consultant.ru/document/cons_doc_LAW_11344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9801/" TargetMode="External"/><Relationship Id="rId11" Type="http://schemas.openxmlformats.org/officeDocument/2006/relationships/hyperlink" Target="http://www.consultant.ru/document/cons_doc_LAW_109801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109801/" TargetMode="External"/><Relationship Id="rId15" Type="http://schemas.openxmlformats.org/officeDocument/2006/relationships/hyperlink" Target="http://www.consultant.ru/document/cons_doc_LAW_19795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d6aa4f5374347120919d6d0ca106e089be185a9b/" TargetMode="External"/><Relationship Id="rId19" Type="http://schemas.openxmlformats.org/officeDocument/2006/relationships/hyperlink" Target="http://www.consultant.ru/document/cons_doc_LAW_125752/" TargetMode="External"/><Relationship Id="rId4" Type="http://schemas.openxmlformats.org/officeDocument/2006/relationships/hyperlink" Target="http://www.consultant.ru/document/Cons_doc_LAW_93978/4d65f8f0b5a5e943b470b72f05f5e6f9c2cb3b88/" TargetMode="External"/><Relationship Id="rId9" Type="http://schemas.openxmlformats.org/officeDocument/2006/relationships/hyperlink" Target="http://www.consultant.ru/document/Cons_doc_LAW_58227/" TargetMode="External"/><Relationship Id="rId14" Type="http://schemas.openxmlformats.org/officeDocument/2006/relationships/hyperlink" Target="http://www.consultant.ru/document/cons_doc_LAW_103992/" TargetMode="External"/><Relationship Id="rId22" Type="http://schemas.openxmlformats.org/officeDocument/2006/relationships/hyperlink" Target="http://www.consultant.ru/document/cons_doc_LAW_34661/b62b4edeff019ef9d001060bb4ae763672b502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2017-09-18T10:27:00Z</dcterms:created>
  <dcterms:modified xsi:type="dcterms:W3CDTF">2017-09-19T06:37:00Z</dcterms:modified>
</cp:coreProperties>
</file>