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F4" w:rsidRPr="00107EF4" w:rsidRDefault="00107EF4" w:rsidP="00107EF4">
      <w:pPr>
        <w:rPr>
          <w:b/>
          <w:noProof/>
        </w:rPr>
      </w:pPr>
      <w:r w:rsidRPr="00107EF4">
        <w:t xml:space="preserve">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1015" cy="628015"/>
            <wp:effectExtent l="0" t="0" r="0" b="635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  <w:r w:rsidRPr="00107EF4">
        <w:rPr>
          <w:b/>
          <w:sz w:val="28"/>
          <w:szCs w:val="28"/>
        </w:rPr>
        <w:t>АДМИНИСТРАЦИЯ</w:t>
      </w: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  <w:r w:rsidRPr="00107EF4">
        <w:rPr>
          <w:b/>
          <w:sz w:val="28"/>
          <w:szCs w:val="28"/>
        </w:rPr>
        <w:t>МУНИЦИПАЛЬНОГО ОБРАЗОВАНИЯ</w:t>
      </w: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  <w:r w:rsidRPr="00107EF4">
        <w:rPr>
          <w:b/>
          <w:sz w:val="28"/>
          <w:szCs w:val="28"/>
        </w:rPr>
        <w:t>ВОЗДВИЖЕНСКИЙ СЕЛЬСОВЕТ</w:t>
      </w: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  <w:r w:rsidRPr="00107EF4">
        <w:rPr>
          <w:b/>
          <w:sz w:val="28"/>
          <w:szCs w:val="28"/>
        </w:rPr>
        <w:t>АСЕКЕЕВСКОГО  РАЙОНА  ОРЕНБУРГСКОЙ  ОБЛАСТИ</w:t>
      </w: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</w:p>
    <w:p w:rsidR="00107EF4" w:rsidRPr="00107EF4" w:rsidRDefault="00107EF4" w:rsidP="00107EF4">
      <w:pPr>
        <w:jc w:val="center"/>
        <w:rPr>
          <w:b/>
          <w:sz w:val="28"/>
          <w:szCs w:val="28"/>
        </w:rPr>
      </w:pPr>
      <w:proofErr w:type="gramStart"/>
      <w:r w:rsidRPr="00107EF4">
        <w:rPr>
          <w:b/>
          <w:sz w:val="28"/>
          <w:szCs w:val="28"/>
        </w:rPr>
        <w:t>П</w:t>
      </w:r>
      <w:proofErr w:type="gramEnd"/>
      <w:r w:rsidRPr="00107EF4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07EF4" w:rsidRPr="00107EF4" w:rsidTr="0013672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07EF4" w:rsidRPr="00107EF4" w:rsidRDefault="00107EF4" w:rsidP="00107EF4">
            <w:pPr>
              <w:rPr>
                <w:sz w:val="28"/>
                <w:szCs w:val="28"/>
              </w:rPr>
            </w:pPr>
          </w:p>
        </w:tc>
      </w:tr>
    </w:tbl>
    <w:p w:rsidR="00107EF4" w:rsidRPr="00107EF4" w:rsidRDefault="00107EF4" w:rsidP="00107EF4">
      <w:pPr>
        <w:rPr>
          <w:sz w:val="28"/>
          <w:szCs w:val="28"/>
          <w:u w:val="single"/>
        </w:rPr>
      </w:pPr>
      <w:r w:rsidRPr="00107EF4">
        <w:rPr>
          <w:b/>
          <w:sz w:val="28"/>
          <w:szCs w:val="28"/>
        </w:rPr>
        <w:t xml:space="preserve">19.08.2020                             с. Воздвиженка                                          № </w:t>
      </w:r>
      <w:r>
        <w:rPr>
          <w:b/>
          <w:sz w:val="28"/>
          <w:szCs w:val="28"/>
        </w:rPr>
        <w:t>40</w:t>
      </w:r>
      <w:r w:rsidRPr="00107EF4">
        <w:rPr>
          <w:b/>
          <w:sz w:val="28"/>
          <w:szCs w:val="28"/>
        </w:rPr>
        <w:t>-п</w:t>
      </w:r>
    </w:p>
    <w:p w:rsidR="00EE755C" w:rsidRDefault="00EE755C" w:rsidP="00EE755C">
      <w:pPr>
        <w:tabs>
          <w:tab w:val="center" w:pos="0"/>
          <w:tab w:val="left" w:pos="709"/>
        </w:tabs>
        <w:ind w:left="709" w:right="-1"/>
        <w:rPr>
          <w:sz w:val="28"/>
          <w:szCs w:val="28"/>
        </w:rPr>
      </w:pPr>
    </w:p>
    <w:p w:rsidR="00107EF4" w:rsidRPr="002B58AE" w:rsidRDefault="00107EF4" w:rsidP="00EE755C">
      <w:pPr>
        <w:tabs>
          <w:tab w:val="center" w:pos="0"/>
          <w:tab w:val="left" w:pos="709"/>
        </w:tabs>
        <w:ind w:left="709" w:right="-1"/>
        <w:rPr>
          <w:sz w:val="28"/>
          <w:szCs w:val="28"/>
        </w:rPr>
      </w:pPr>
    </w:p>
    <w:p w:rsidR="00EE755C" w:rsidRPr="002B4AAC" w:rsidRDefault="00EE755C" w:rsidP="000E4BE5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2B4AAC">
        <w:rPr>
          <w:b/>
          <w:iCs/>
          <w:sz w:val="28"/>
          <w:szCs w:val="28"/>
        </w:rPr>
        <w:t>Об утверждении  программы</w:t>
      </w:r>
    </w:p>
    <w:p w:rsidR="00EE755C" w:rsidRPr="002B4AAC" w:rsidRDefault="00EE755C" w:rsidP="000E4BE5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2B4AAC">
        <w:rPr>
          <w:b/>
          <w:iCs/>
          <w:sz w:val="28"/>
          <w:szCs w:val="28"/>
        </w:rPr>
        <w:t xml:space="preserve">развития муниципальной службы в муниципальном образовании </w:t>
      </w:r>
      <w:r w:rsidR="00107EF4">
        <w:rPr>
          <w:b/>
          <w:iCs/>
          <w:sz w:val="28"/>
          <w:szCs w:val="28"/>
        </w:rPr>
        <w:t>Воздвижен</w:t>
      </w:r>
      <w:r w:rsidRPr="002B4AAC">
        <w:rPr>
          <w:b/>
          <w:iCs/>
          <w:sz w:val="28"/>
          <w:szCs w:val="28"/>
        </w:rPr>
        <w:t xml:space="preserve">ский сельсовет  </w:t>
      </w:r>
      <w:proofErr w:type="spellStart"/>
      <w:r w:rsidRPr="002B4AAC">
        <w:rPr>
          <w:b/>
          <w:iCs/>
          <w:sz w:val="28"/>
          <w:szCs w:val="28"/>
        </w:rPr>
        <w:t>Асекеевского</w:t>
      </w:r>
      <w:proofErr w:type="spellEnd"/>
      <w:r w:rsidRPr="002B4AAC">
        <w:rPr>
          <w:b/>
          <w:iCs/>
          <w:sz w:val="28"/>
          <w:szCs w:val="28"/>
        </w:rPr>
        <w:t xml:space="preserve"> района               </w:t>
      </w:r>
    </w:p>
    <w:p w:rsidR="00EE755C" w:rsidRPr="002B4AAC" w:rsidRDefault="00EE755C" w:rsidP="000E4BE5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2B4AAC">
        <w:rPr>
          <w:b/>
          <w:iCs/>
          <w:sz w:val="28"/>
          <w:szCs w:val="28"/>
        </w:rPr>
        <w:t xml:space="preserve">  Оренбургской области на 2020 – 2024 годы</w:t>
      </w:r>
    </w:p>
    <w:p w:rsidR="00EE755C" w:rsidRDefault="00EE755C" w:rsidP="00EE755C">
      <w:pPr>
        <w:tabs>
          <w:tab w:val="left" w:pos="0"/>
        </w:tabs>
        <w:spacing w:line="276" w:lineRule="auto"/>
        <w:ind w:right="-1"/>
        <w:jc w:val="center"/>
        <w:rPr>
          <w:iCs/>
          <w:sz w:val="28"/>
          <w:szCs w:val="28"/>
        </w:rPr>
      </w:pPr>
    </w:p>
    <w:p w:rsidR="00EE755C" w:rsidRPr="00107EF4" w:rsidRDefault="00EE755C" w:rsidP="0010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EF4">
        <w:rPr>
          <w:sz w:val="28"/>
          <w:szCs w:val="28"/>
        </w:rPr>
        <w:t>В соответствии со статьей 30</w:t>
      </w:r>
      <w:hyperlink r:id="rId6" w:history="1">
        <w:r w:rsidRPr="00107EF4">
          <w:rPr>
            <w:rStyle w:val="a4"/>
            <w:color w:val="0D0D0D" w:themeColor="text1" w:themeTint="F2"/>
            <w:sz w:val="28"/>
            <w:szCs w:val="28"/>
          </w:rPr>
          <w:t>Закона</w:t>
        </w:r>
      </w:hyperlink>
      <w:r w:rsidRPr="00107EF4">
        <w:rPr>
          <w:sz w:val="28"/>
          <w:szCs w:val="28"/>
        </w:rPr>
        <w:t xml:space="preserve"> Оренбургской области от 10 октября 2007 года №1611/339-</w:t>
      </w:r>
      <w:r w:rsidRPr="00107EF4">
        <w:rPr>
          <w:sz w:val="28"/>
          <w:szCs w:val="28"/>
          <w:lang w:val="en-US"/>
        </w:rPr>
        <w:t>I</w:t>
      </w:r>
      <w:r w:rsidRPr="00107EF4">
        <w:rPr>
          <w:sz w:val="28"/>
          <w:szCs w:val="28"/>
        </w:rPr>
        <w:t>V-ОЗ «О муниципальной службе в Оренбургской области»,</w:t>
      </w:r>
      <w:r w:rsidR="00107EF4" w:rsidRPr="00107EF4">
        <w:rPr>
          <w:sz w:val="28"/>
          <w:szCs w:val="28"/>
        </w:rPr>
        <w:t xml:space="preserve"> </w:t>
      </w:r>
      <w:r w:rsidRPr="00107EF4">
        <w:rPr>
          <w:sz w:val="28"/>
          <w:szCs w:val="28"/>
        </w:rPr>
        <w:t xml:space="preserve">руководствуясь статьей 27 Устава муниципального образования  </w:t>
      </w:r>
      <w:r w:rsidR="00107EF4" w:rsidRPr="00107EF4">
        <w:rPr>
          <w:sz w:val="28"/>
          <w:szCs w:val="28"/>
        </w:rPr>
        <w:t>Воздвижен</w:t>
      </w:r>
      <w:r w:rsidRPr="00107EF4">
        <w:rPr>
          <w:sz w:val="28"/>
          <w:szCs w:val="28"/>
        </w:rPr>
        <w:t>ский сельсовет, постановляю:</w:t>
      </w:r>
    </w:p>
    <w:p w:rsidR="00EE755C" w:rsidRPr="00107EF4" w:rsidRDefault="00EE755C" w:rsidP="00107EF4">
      <w:pPr>
        <w:tabs>
          <w:tab w:val="left" w:pos="0"/>
        </w:tabs>
        <w:jc w:val="center"/>
        <w:rPr>
          <w:iCs/>
          <w:sz w:val="28"/>
          <w:szCs w:val="28"/>
        </w:rPr>
      </w:pPr>
      <w:r w:rsidRPr="00107EF4">
        <w:rPr>
          <w:iCs/>
          <w:sz w:val="28"/>
          <w:szCs w:val="28"/>
        </w:rPr>
        <w:t xml:space="preserve">    1. Утвердить программу развития муниципальной службы в муниципальном образовании </w:t>
      </w:r>
      <w:r w:rsidR="00107EF4" w:rsidRPr="00107EF4">
        <w:rPr>
          <w:sz w:val="28"/>
          <w:szCs w:val="28"/>
        </w:rPr>
        <w:t>Воздвиженский</w:t>
      </w:r>
      <w:r w:rsidRPr="00107EF4">
        <w:rPr>
          <w:iCs/>
          <w:sz w:val="28"/>
          <w:szCs w:val="28"/>
        </w:rPr>
        <w:t xml:space="preserve"> сельсовет  </w:t>
      </w:r>
      <w:proofErr w:type="spellStart"/>
      <w:r w:rsidRPr="00107EF4">
        <w:rPr>
          <w:iCs/>
          <w:sz w:val="28"/>
          <w:szCs w:val="28"/>
        </w:rPr>
        <w:t>Асекеевского</w:t>
      </w:r>
      <w:proofErr w:type="spellEnd"/>
      <w:r w:rsidRPr="00107EF4">
        <w:rPr>
          <w:iCs/>
          <w:sz w:val="28"/>
          <w:szCs w:val="28"/>
        </w:rPr>
        <w:t xml:space="preserve"> района               </w:t>
      </w:r>
    </w:p>
    <w:p w:rsidR="00EE755C" w:rsidRPr="00107EF4" w:rsidRDefault="00EE755C" w:rsidP="00107EF4">
      <w:pPr>
        <w:tabs>
          <w:tab w:val="left" w:pos="0"/>
        </w:tabs>
        <w:jc w:val="both"/>
        <w:rPr>
          <w:iCs/>
          <w:sz w:val="28"/>
          <w:szCs w:val="28"/>
        </w:rPr>
      </w:pPr>
      <w:r w:rsidRPr="00107EF4">
        <w:rPr>
          <w:iCs/>
          <w:sz w:val="28"/>
          <w:szCs w:val="28"/>
        </w:rPr>
        <w:t xml:space="preserve">  Оренбургской области на 2020 – 2024 годы</w:t>
      </w:r>
      <w:r w:rsidR="00107EF4">
        <w:rPr>
          <w:iCs/>
          <w:sz w:val="28"/>
          <w:szCs w:val="28"/>
        </w:rPr>
        <w:t xml:space="preserve"> </w:t>
      </w:r>
      <w:r w:rsidRPr="00107EF4">
        <w:rPr>
          <w:iCs/>
          <w:sz w:val="28"/>
          <w:szCs w:val="28"/>
        </w:rPr>
        <w:t>(далее – Программа) согласно приложению.</w:t>
      </w:r>
    </w:p>
    <w:p w:rsidR="00EE755C" w:rsidRPr="00107EF4" w:rsidRDefault="00EE755C" w:rsidP="00107E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7EF4">
        <w:rPr>
          <w:sz w:val="28"/>
          <w:szCs w:val="28"/>
        </w:rPr>
        <w:t xml:space="preserve">2. </w:t>
      </w:r>
      <w:proofErr w:type="gramStart"/>
      <w:r w:rsidRPr="00107EF4">
        <w:rPr>
          <w:sz w:val="28"/>
          <w:szCs w:val="28"/>
        </w:rPr>
        <w:t>Контроль за</w:t>
      </w:r>
      <w:proofErr w:type="gramEnd"/>
      <w:r w:rsidRPr="00107E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55C" w:rsidRPr="00107EF4" w:rsidRDefault="00EE755C" w:rsidP="00107EF4">
      <w:pPr>
        <w:ind w:firstLine="709"/>
        <w:jc w:val="both"/>
        <w:rPr>
          <w:sz w:val="28"/>
          <w:szCs w:val="28"/>
        </w:rPr>
      </w:pPr>
      <w:r w:rsidRPr="00107EF4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EE755C" w:rsidRDefault="00EE755C" w:rsidP="00107EF4">
      <w:pPr>
        <w:jc w:val="both"/>
        <w:rPr>
          <w:sz w:val="28"/>
          <w:szCs w:val="28"/>
        </w:rPr>
      </w:pPr>
    </w:p>
    <w:p w:rsidR="00107EF4" w:rsidRDefault="00107EF4" w:rsidP="00107EF4">
      <w:pPr>
        <w:jc w:val="both"/>
        <w:rPr>
          <w:sz w:val="28"/>
          <w:szCs w:val="28"/>
        </w:rPr>
      </w:pPr>
    </w:p>
    <w:p w:rsidR="00107EF4" w:rsidRPr="00107EF4" w:rsidRDefault="00107EF4" w:rsidP="00107EF4">
      <w:pPr>
        <w:jc w:val="both"/>
        <w:rPr>
          <w:sz w:val="28"/>
          <w:szCs w:val="28"/>
        </w:rPr>
      </w:pPr>
    </w:p>
    <w:p w:rsidR="00EE755C" w:rsidRPr="00107EF4" w:rsidRDefault="00107EF4" w:rsidP="00107EF4">
      <w:pPr>
        <w:jc w:val="both"/>
        <w:rPr>
          <w:sz w:val="28"/>
          <w:szCs w:val="28"/>
        </w:rPr>
      </w:pPr>
      <w:r w:rsidRPr="00107EF4">
        <w:rPr>
          <w:noProof/>
          <w:sz w:val="28"/>
          <w:szCs w:val="28"/>
        </w:rPr>
        <w:t>Глава администрации                                                       И.А. Фёдоров</w:t>
      </w:r>
    </w:p>
    <w:p w:rsidR="00EE755C" w:rsidRDefault="00EE755C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EE755C" w:rsidRDefault="00EE755C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EE755C" w:rsidRDefault="00EE755C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EE755C" w:rsidRDefault="00EE755C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107EF4" w:rsidRDefault="00107EF4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107EF4" w:rsidRDefault="00107EF4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107EF4" w:rsidRDefault="00107EF4" w:rsidP="00EE755C">
      <w:pPr>
        <w:spacing w:line="360" w:lineRule="auto"/>
        <w:ind w:right="-1"/>
        <w:jc w:val="both"/>
        <w:rPr>
          <w:sz w:val="28"/>
          <w:szCs w:val="28"/>
        </w:rPr>
      </w:pPr>
    </w:p>
    <w:p w:rsidR="000E4BE5" w:rsidRDefault="000E4BE5" w:rsidP="00EE755C">
      <w:pPr>
        <w:spacing w:line="360" w:lineRule="auto"/>
        <w:ind w:right="-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E755C" w:rsidTr="0013672B">
        <w:tc>
          <w:tcPr>
            <w:tcW w:w="5070" w:type="dxa"/>
          </w:tcPr>
          <w:p w:rsidR="00EE755C" w:rsidRDefault="00EE755C" w:rsidP="0013672B">
            <w:pPr>
              <w:pStyle w:val="ConsPlusNormal"/>
              <w:jc w:val="right"/>
              <w:outlineLvl w:val="0"/>
              <w:rPr>
                <w:lang w:eastAsia="en-US"/>
              </w:rPr>
            </w:pPr>
          </w:p>
          <w:p w:rsidR="00EE755C" w:rsidRDefault="00EE755C" w:rsidP="0013672B">
            <w:pPr>
              <w:pStyle w:val="ConsPlusNormal"/>
              <w:jc w:val="right"/>
              <w:outlineLvl w:val="0"/>
              <w:rPr>
                <w:lang w:eastAsia="en-US"/>
              </w:rPr>
            </w:pPr>
          </w:p>
          <w:p w:rsidR="00EE755C" w:rsidRDefault="00EE755C" w:rsidP="0013672B">
            <w:pPr>
              <w:pStyle w:val="ConsPlusNormal"/>
              <w:jc w:val="right"/>
              <w:outlineLvl w:val="0"/>
              <w:rPr>
                <w:lang w:eastAsia="en-US"/>
              </w:rPr>
            </w:pPr>
          </w:p>
          <w:p w:rsidR="00EE755C" w:rsidRDefault="00EE755C" w:rsidP="0013672B">
            <w:pPr>
              <w:pStyle w:val="ConsPlusNormal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4501" w:type="dxa"/>
          </w:tcPr>
          <w:p w:rsidR="00EE755C" w:rsidRDefault="00EE755C" w:rsidP="0013672B">
            <w:pPr>
              <w:pStyle w:val="ConsPlusNormal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EE755C" w:rsidRDefault="00EE755C" w:rsidP="0013672B">
            <w:pPr>
              <w:pStyle w:val="ConsPlusNormal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</w:t>
            </w:r>
          </w:p>
          <w:p w:rsidR="00EE755C" w:rsidRDefault="00107EF4" w:rsidP="0013672B">
            <w:pPr>
              <w:pStyle w:val="ConsPlusNormal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19.08.2020 № 40-п</w:t>
            </w:r>
          </w:p>
          <w:p w:rsidR="00EE755C" w:rsidRDefault="00EE755C" w:rsidP="0013672B">
            <w:pPr>
              <w:pStyle w:val="ConsPlusNormal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755C" w:rsidRDefault="00EE755C" w:rsidP="00EE755C">
      <w:pPr>
        <w:pStyle w:val="ConsPlusNormal"/>
        <w:jc w:val="both"/>
      </w:pPr>
    </w:p>
    <w:p w:rsidR="00EE755C" w:rsidRPr="00853751" w:rsidRDefault="00EE755C" w:rsidP="00EE755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  <w:r w:rsidRPr="00853751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EE755C" w:rsidRPr="00853751" w:rsidRDefault="00EE755C" w:rsidP="00107EF4">
      <w:pPr>
        <w:tabs>
          <w:tab w:val="left" w:pos="0"/>
        </w:tabs>
        <w:spacing w:line="276" w:lineRule="auto"/>
        <w:ind w:right="-1"/>
        <w:jc w:val="center"/>
        <w:rPr>
          <w:iCs/>
          <w:sz w:val="24"/>
          <w:szCs w:val="24"/>
        </w:rPr>
      </w:pPr>
      <w:r w:rsidRPr="00853751">
        <w:rPr>
          <w:sz w:val="24"/>
          <w:szCs w:val="24"/>
        </w:rPr>
        <w:t xml:space="preserve">развития муниципальной службы </w:t>
      </w:r>
      <w:r w:rsidRPr="00853751">
        <w:rPr>
          <w:iCs/>
          <w:sz w:val="24"/>
          <w:szCs w:val="24"/>
        </w:rPr>
        <w:t xml:space="preserve">муниципальном </w:t>
      </w:r>
      <w:proofErr w:type="gramStart"/>
      <w:r w:rsidRPr="00853751">
        <w:rPr>
          <w:iCs/>
          <w:sz w:val="24"/>
          <w:szCs w:val="24"/>
        </w:rPr>
        <w:t>образовании</w:t>
      </w:r>
      <w:proofErr w:type="gramEnd"/>
      <w:r w:rsidRPr="00853751">
        <w:rPr>
          <w:iCs/>
          <w:sz w:val="24"/>
          <w:szCs w:val="24"/>
        </w:rPr>
        <w:t xml:space="preserve"> </w:t>
      </w:r>
      <w:r w:rsidR="00107EF4">
        <w:rPr>
          <w:iCs/>
          <w:sz w:val="24"/>
          <w:szCs w:val="24"/>
        </w:rPr>
        <w:t>Воздвижен</w:t>
      </w:r>
      <w:r w:rsidRPr="00853751">
        <w:rPr>
          <w:iCs/>
          <w:sz w:val="24"/>
          <w:szCs w:val="24"/>
        </w:rPr>
        <w:t xml:space="preserve">ский сельсовет  </w:t>
      </w:r>
      <w:proofErr w:type="spellStart"/>
      <w:r w:rsidRPr="00853751">
        <w:rPr>
          <w:iCs/>
          <w:sz w:val="24"/>
          <w:szCs w:val="24"/>
        </w:rPr>
        <w:t>Ас</w:t>
      </w:r>
      <w:r w:rsidR="00107EF4">
        <w:rPr>
          <w:iCs/>
          <w:sz w:val="24"/>
          <w:szCs w:val="24"/>
        </w:rPr>
        <w:t>екеевского</w:t>
      </w:r>
      <w:proofErr w:type="spellEnd"/>
      <w:r w:rsidR="00107EF4">
        <w:rPr>
          <w:iCs/>
          <w:sz w:val="24"/>
          <w:szCs w:val="24"/>
        </w:rPr>
        <w:t xml:space="preserve"> района</w:t>
      </w:r>
      <w:r w:rsidRPr="00853751">
        <w:rPr>
          <w:iCs/>
          <w:sz w:val="24"/>
          <w:szCs w:val="24"/>
        </w:rPr>
        <w:t xml:space="preserve"> Оренбургской области на 2020 – 2024 годы</w:t>
      </w:r>
    </w:p>
    <w:p w:rsidR="000E4BE5" w:rsidRPr="000E4BE5" w:rsidRDefault="00EE755C" w:rsidP="000E4BE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EE755C" w:rsidRPr="00853751" w:rsidRDefault="00EE755C" w:rsidP="00EE755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районной программы развития муниципальной службы</w:t>
      </w:r>
    </w:p>
    <w:p w:rsidR="00EE755C" w:rsidRPr="00853751" w:rsidRDefault="00EE755C" w:rsidP="00EE755C">
      <w:pPr>
        <w:tabs>
          <w:tab w:val="left" w:pos="0"/>
        </w:tabs>
        <w:spacing w:line="276" w:lineRule="auto"/>
        <w:ind w:right="-1"/>
        <w:jc w:val="center"/>
        <w:rPr>
          <w:iCs/>
          <w:sz w:val="24"/>
          <w:szCs w:val="24"/>
        </w:rPr>
      </w:pPr>
      <w:r w:rsidRPr="00853751">
        <w:rPr>
          <w:sz w:val="24"/>
          <w:szCs w:val="24"/>
        </w:rPr>
        <w:t xml:space="preserve">в </w:t>
      </w:r>
      <w:r w:rsidRPr="00853751">
        <w:rPr>
          <w:iCs/>
          <w:sz w:val="24"/>
          <w:szCs w:val="24"/>
        </w:rPr>
        <w:t xml:space="preserve">муниципальном образовании </w:t>
      </w:r>
      <w:r w:rsidR="00107EF4">
        <w:rPr>
          <w:iCs/>
          <w:sz w:val="24"/>
          <w:szCs w:val="24"/>
        </w:rPr>
        <w:t>Воздвижен</w:t>
      </w:r>
      <w:r w:rsidR="00107EF4" w:rsidRPr="00853751">
        <w:rPr>
          <w:iCs/>
          <w:sz w:val="24"/>
          <w:szCs w:val="24"/>
        </w:rPr>
        <w:t>ский</w:t>
      </w:r>
      <w:r w:rsidRPr="00853751">
        <w:rPr>
          <w:iCs/>
          <w:sz w:val="24"/>
          <w:szCs w:val="24"/>
        </w:rPr>
        <w:t xml:space="preserve"> сельсовет </w:t>
      </w:r>
    </w:p>
    <w:p w:rsidR="00EE755C" w:rsidRPr="00853751" w:rsidRDefault="00EE755C" w:rsidP="00107EF4">
      <w:pPr>
        <w:tabs>
          <w:tab w:val="left" w:pos="0"/>
        </w:tabs>
        <w:spacing w:line="276" w:lineRule="auto"/>
        <w:ind w:right="-1"/>
        <w:jc w:val="center"/>
        <w:rPr>
          <w:iCs/>
          <w:sz w:val="24"/>
          <w:szCs w:val="24"/>
        </w:rPr>
      </w:pPr>
      <w:r w:rsidRPr="00853751">
        <w:rPr>
          <w:iCs/>
          <w:sz w:val="24"/>
          <w:szCs w:val="24"/>
        </w:rPr>
        <w:t xml:space="preserve"> </w:t>
      </w:r>
      <w:proofErr w:type="spellStart"/>
      <w:r w:rsidRPr="00853751">
        <w:rPr>
          <w:iCs/>
          <w:sz w:val="24"/>
          <w:szCs w:val="24"/>
        </w:rPr>
        <w:t>Ас</w:t>
      </w:r>
      <w:r w:rsidR="00107EF4">
        <w:rPr>
          <w:iCs/>
          <w:sz w:val="24"/>
          <w:szCs w:val="24"/>
        </w:rPr>
        <w:t>екеевского</w:t>
      </w:r>
      <w:proofErr w:type="spellEnd"/>
      <w:r w:rsidR="00107EF4">
        <w:rPr>
          <w:iCs/>
          <w:sz w:val="24"/>
          <w:szCs w:val="24"/>
        </w:rPr>
        <w:t xml:space="preserve"> района </w:t>
      </w:r>
      <w:r w:rsidRPr="00853751">
        <w:rPr>
          <w:iCs/>
          <w:sz w:val="24"/>
          <w:szCs w:val="24"/>
        </w:rPr>
        <w:t>Оренбургской области на 2020 – 2024 годы</w:t>
      </w:r>
    </w:p>
    <w:p w:rsidR="00EE755C" w:rsidRPr="00853751" w:rsidRDefault="00EE755C" w:rsidP="00EE755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 xml:space="preserve"> (далее - Программа)</w:t>
      </w:r>
    </w:p>
    <w:p w:rsidR="00EE755C" w:rsidRPr="00853751" w:rsidRDefault="00EE755C" w:rsidP="00EE7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7"/>
        <w:gridCol w:w="6293"/>
      </w:tblGrid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107EF4" w:rsidRPr="000E4BE5">
              <w:rPr>
                <w:rFonts w:ascii="Times New Roman" w:hAnsi="Times New Roman" w:cs="Times New Roman"/>
                <w:iCs/>
                <w:sz w:val="24"/>
                <w:szCs w:val="24"/>
              </w:rPr>
              <w:t>Воздвиженский</w:t>
            </w: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муниципального образования </w:t>
            </w:r>
            <w:r w:rsidR="00107EF4">
              <w:rPr>
                <w:iCs/>
                <w:sz w:val="24"/>
                <w:szCs w:val="24"/>
              </w:rPr>
              <w:t>Воздвижен</w:t>
            </w:r>
            <w:r w:rsidR="00107EF4" w:rsidRPr="00853751">
              <w:rPr>
                <w:iCs/>
                <w:sz w:val="24"/>
                <w:szCs w:val="24"/>
              </w:rPr>
              <w:t>ский</w:t>
            </w: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муниципальной службы в МО </w:t>
            </w:r>
            <w:r w:rsidR="00107EF4" w:rsidRPr="000E4BE5">
              <w:rPr>
                <w:rFonts w:ascii="Times New Roman" w:hAnsi="Times New Roman" w:cs="Times New Roman"/>
                <w:iCs/>
                <w:sz w:val="24"/>
                <w:szCs w:val="24"/>
              </w:rPr>
              <w:t>Воздвиженский</w:t>
            </w:r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повышения престижа муниципальной службы в МО </w:t>
            </w:r>
            <w:r w:rsidR="00107EF4" w:rsidRPr="000E4BE5">
              <w:rPr>
                <w:rFonts w:ascii="Times New Roman" w:hAnsi="Times New Roman" w:cs="Times New Roman"/>
                <w:iCs/>
                <w:sz w:val="24"/>
                <w:szCs w:val="24"/>
              </w:rPr>
              <w:t>Воздвиженский</w:t>
            </w:r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а также результативности профессиональной служебной деятельности муниципальных служащих МО </w:t>
            </w:r>
            <w:r w:rsidR="00107EF4" w:rsidRPr="000E4BE5">
              <w:rPr>
                <w:rFonts w:ascii="Times New Roman" w:hAnsi="Times New Roman" w:cs="Times New Roman"/>
                <w:iCs/>
                <w:sz w:val="24"/>
                <w:szCs w:val="24"/>
              </w:rPr>
              <w:t>Воздвиженский</w:t>
            </w:r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муниципальной службы во взаимосвязи муниципальной и государственной гражданской службой;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управления муниципальной службой;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развитие системы обучения муниципальных служащих как основы их профессионального и должностного роста;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 как вида профессиональной деятельности;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и организационных механизмов, направленных на повышение результативности профессиональной служебной деятельности </w:t>
            </w:r>
            <w:r w:rsidRPr="0085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муниципальных правовых актов, регулирующих вопросы муниципальной службы;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(актуализированных) материалов по вопросам развития муниципальной службы в информационно-телекоммуникационной сети «Интернет»;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принявших участие в обучающих мероприятиях, мероприятиях по обмену опытом, служебных стажировках;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2020 - 2024 годы</w:t>
            </w: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профессиональному развитию </w:t>
            </w:r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МО </w:t>
            </w:r>
            <w:r w:rsidR="00107EF4" w:rsidRPr="000E4BE5">
              <w:rPr>
                <w:rFonts w:ascii="Times New Roman" w:hAnsi="Times New Roman" w:cs="Times New Roman"/>
                <w:iCs/>
                <w:sz w:val="24"/>
                <w:szCs w:val="24"/>
              </w:rPr>
              <w:t>Воздвиженский</w:t>
            </w:r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0E4BE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</w:t>
            </w: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осуществляется в рамках текущих расходов органа местного самоуправления </w:t>
            </w:r>
          </w:p>
        </w:tc>
      </w:tr>
      <w:tr w:rsidR="00EE755C" w:rsidRPr="00853751" w:rsidTr="0013672B">
        <w:tc>
          <w:tcPr>
            <w:tcW w:w="2381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97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hideMark/>
          </w:tcPr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кадровых технологий, способствующих повышению результативности деятельности муниципальных служащих, </w:t>
            </w:r>
            <w:r w:rsidRPr="008537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посредством применения в качестве основы для всесторонней оценки профессиональной служебной деятельности муниципальных служащих методики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всесторонней оценки профессиональной служебной деятельности государственных гражданских служащих, </w:t>
            </w:r>
            <w:proofErr w:type="gramStart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разработанная</w:t>
            </w:r>
            <w:proofErr w:type="gramEnd"/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труда и социальной защиты Российской Федерации;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муниципальных служащих, включающее в себя разнообразные формы и методы повышения уровня их компетентности и профессионализма, обеспечивающих </w:t>
            </w:r>
            <w:r w:rsidRPr="0085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профессиональное развитие кадрового состава и планирование должностного роста;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увеличение числа квалифицированных специалистов на муниципальной службе;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      </w:r>
          </w:p>
          <w:p w:rsidR="00EE755C" w:rsidRPr="00853751" w:rsidRDefault="00EE755C" w:rsidP="001367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1">
              <w:rPr>
                <w:rFonts w:ascii="Times New Roman" w:hAnsi="Times New Roman" w:cs="Times New Roman"/>
                <w:sz w:val="24"/>
                <w:szCs w:val="24"/>
              </w:rPr>
      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</w:t>
            </w:r>
          </w:p>
        </w:tc>
      </w:tr>
    </w:tbl>
    <w:p w:rsidR="00EE755C" w:rsidRPr="00853751" w:rsidRDefault="00EE755C" w:rsidP="00EE755C">
      <w:pPr>
        <w:pStyle w:val="ConsPlusTitle"/>
        <w:jc w:val="center"/>
        <w:outlineLvl w:val="1"/>
        <w:rPr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Муниципальная служба в Российской Федерации является важным и значимым инструментом для проведения различного рода преобразований в структуре власти, социальной среде, экономической деятельности. Связующим звеном между населением и властью являются муниципальные служащие. От их компетентности, профессионализма, нацеленности работать на благо всего населения и каждого человека в отдельности во многом зависит эффективная реализация как государственной, так и муниципальной социально-экономической политики на территории муниципального образования, степень доверия органам местного самоуправления.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муниципальных образований. От того, насколько эффективно действуют эти органы, во многом зависит доверие населения к власти.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В настоящее время развитию муниципальной службы присущи следующие проблемы: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недостаточный для работы в современных условиях уровень профессионального образования муниципальных служащих;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недостаточный уровень эффективности использования резерва управленческих кадров и кадрового резерва органов местного самоуправления муниципальных образований как основного источника обновления и пополнения кадрового состава муниципальной службы;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нерешенность правовых, организационных и социальных вопросов привлечения и закрепления молодых специалистов на муниципальной службе;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недостаточный уровень престижа муниципальной службы как вида профессиональной деятельности.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муниципальных служащих акцент должен ставиться на целенаправленное и системное дополнительное профессиональное образование. Зачастую муниципальным служащим приходится при смене должностей менять сферы, а значит и специализацию деятельности. Отсюда возникает актуальность получения дополнительного образования, постоянного расширения кругозора на основе </w:t>
      </w:r>
      <w:r w:rsidRPr="00853751">
        <w:rPr>
          <w:rFonts w:ascii="Times New Roman" w:hAnsi="Times New Roman" w:cs="Times New Roman"/>
          <w:sz w:val="24"/>
          <w:szCs w:val="24"/>
        </w:rPr>
        <w:lastRenderedPageBreak/>
        <w:t>углубленного изучения правовых, экономических, социальных и политических процессов.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Кроме того, необходимость профессионального развития муниципальных служащих во многом обусловлена постоянным изменением нормативно-правовой </w:t>
      </w:r>
      <w:proofErr w:type="gramStart"/>
      <w:r w:rsidRPr="00853751"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 w:rsidR="00107EF4">
        <w:rPr>
          <w:rFonts w:ascii="Times New Roman" w:hAnsi="Times New Roman" w:cs="Times New Roman"/>
          <w:sz w:val="24"/>
          <w:szCs w:val="24"/>
        </w:rPr>
        <w:t xml:space="preserve"> </w:t>
      </w:r>
      <w:r w:rsidRPr="00853751">
        <w:rPr>
          <w:rFonts w:ascii="Times New Roman" w:hAnsi="Times New Roman" w:cs="Times New Roman"/>
          <w:sz w:val="24"/>
          <w:szCs w:val="24"/>
        </w:rPr>
        <w:t>как на федеральном, так и на региональном уровнях, в том числе с учетом передаваемых государственных полномочий с федерального уровня на уровень субъектов Российской Федерации.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С учетом изложенного становятся очевидными значимость и необходимость принятия Программы, важность реализации мероприятий по развитию муниципальной службы в </w:t>
      </w:r>
      <w:r w:rsidRPr="000E4BE5">
        <w:rPr>
          <w:rFonts w:ascii="Times New Roman" w:hAnsi="Times New Roman" w:cs="Times New Roman"/>
          <w:sz w:val="24"/>
          <w:szCs w:val="24"/>
        </w:rPr>
        <w:t xml:space="preserve">МО </w:t>
      </w:r>
      <w:r w:rsidR="00107EF4" w:rsidRPr="000E4BE5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Pr="000E4BE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5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85375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53751">
        <w:rPr>
          <w:rFonts w:ascii="Times New Roman" w:hAnsi="Times New Roman" w:cs="Times New Roman"/>
          <w:sz w:val="24"/>
          <w:szCs w:val="24"/>
        </w:rPr>
        <w:t xml:space="preserve"> МО </w:t>
      </w:r>
      <w:r w:rsidR="00107EF4" w:rsidRPr="00107EF4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Pr="00107EF4">
        <w:rPr>
          <w:rFonts w:ascii="Times New Roman" w:hAnsi="Times New Roman" w:cs="Times New Roman"/>
          <w:sz w:val="24"/>
          <w:szCs w:val="24"/>
        </w:rPr>
        <w:t xml:space="preserve"> </w:t>
      </w:r>
      <w:r w:rsidRPr="008537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испытывает потребность в грамотных и квалифицированных руководителях и специалистах, образование которых соответствовало бы занимаемым должностям и квалификационным требованиям. В сложившейся ситуации необходимо на основе долгосрочного планирования, внедрения новых образовательных технологий осуществлять профессиональное развитие муниципальных служащих с учетом современных потребностей и динамики развития муниципальной службы. Важно, чтобы наряду с профессиональными знаниями программы обучения содержали в себе такие направления, как развитие коммуникабельности, социальной ответственности, высокой внутренней культуры, организаторских способностей муниципальных служащих, которые необходимы при работе с населением.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Привлечению для работы в органе местного самоуправления специалистов, обладающих широкими знаниями в областях гражданского права, социальной защищенности, экономики и других сферах, должно способствовать повышение престижа муниципальной службы, достигаемое посредством проведения профессиональных конкурсов, а также широкого освещения в средствах массовой информации лучших практик муниципальной службы.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Для решения перечисленных проблем органу местного самоуправления  необходимо на системной основе предусматривать бюджетные средства на обучение муниципальных служащих, проведение мероприятий по повышению престижа муниципальной службы. Данная задача может быть решена в рамках принятия муниципальных программ, предусматривающих развитие муниципальной службы, повышение эффективности муниципального управления.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Формирование квалифицированного кадрового состава муниципальной службы во многом зависит от качества работы с резервом управленческих кадров, поэтому необходима постоянная методическая помощь в ее совершенствовании, внедрении новых технологий. 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751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</w:t>
      </w:r>
      <w:hyperlink r:id="rId7" w:history="1">
        <w:proofErr w:type="spellStart"/>
        <w:r w:rsidRPr="00853751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законом</w:t>
        </w:r>
      </w:hyperlink>
      <w:r w:rsidRPr="0085375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2 марта 2007 года №25-ФЗ «О муниципальной службе в Российской Федерации», согласно </w:t>
      </w:r>
      <w:hyperlink r:id="rId8" w:history="1">
        <w:r w:rsidRPr="00853751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статье 35</w:t>
        </w:r>
      </w:hyperlink>
      <w:r w:rsidRPr="00853751">
        <w:rPr>
          <w:rFonts w:ascii="Times New Roman" w:hAnsi="Times New Roman" w:cs="Times New Roman"/>
          <w:sz w:val="24"/>
          <w:szCs w:val="24"/>
        </w:rPr>
        <w:t xml:space="preserve"> которого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  <w:proofErr w:type="gramEnd"/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позволит обеспечить системный подход к решению поставленных задач, </w:t>
      </w:r>
      <w:proofErr w:type="gramStart"/>
      <w:r w:rsidRPr="008537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3751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lastRenderedPageBreak/>
        <w:t>Последовательная реализация мероприятий Программы приведет к созданию условий для развития муниципал</w:t>
      </w:r>
      <w:r w:rsidR="000E4BE5">
        <w:rPr>
          <w:rFonts w:ascii="Times New Roman" w:hAnsi="Times New Roman" w:cs="Times New Roman"/>
          <w:sz w:val="24"/>
          <w:szCs w:val="24"/>
        </w:rPr>
        <w:t>ьной службы</w:t>
      </w:r>
      <w:r w:rsidRPr="00853751">
        <w:rPr>
          <w:rFonts w:ascii="Times New Roman" w:hAnsi="Times New Roman" w:cs="Times New Roman"/>
          <w:sz w:val="24"/>
          <w:szCs w:val="24"/>
        </w:rPr>
        <w:t>, повышению ее роли и престижа, эффективности и результативности проводимой кадровой политики.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2. Цель и задачи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53751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муниципальной службы в МО </w:t>
      </w:r>
      <w:r w:rsidR="00107EF4" w:rsidRPr="00107EF4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Pr="00853751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области, повышени</w:t>
      </w:r>
      <w:r w:rsidR="00107EF4">
        <w:rPr>
          <w:rFonts w:ascii="Times New Roman" w:hAnsi="Times New Roman" w:cs="Times New Roman"/>
          <w:sz w:val="24"/>
          <w:szCs w:val="24"/>
        </w:rPr>
        <w:t>я престижа муниципальной службы</w:t>
      </w:r>
      <w:r w:rsidRPr="00853751">
        <w:rPr>
          <w:rFonts w:ascii="Times New Roman" w:hAnsi="Times New Roman" w:cs="Times New Roman"/>
          <w:sz w:val="24"/>
          <w:szCs w:val="24"/>
        </w:rPr>
        <w:t xml:space="preserve">, а также результативности профессиональной служебной деятельности муниципальных служащих МО </w:t>
      </w:r>
      <w:r w:rsidR="00107EF4" w:rsidRPr="00107EF4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="00107EF4" w:rsidRPr="00853751">
        <w:rPr>
          <w:rFonts w:ascii="Times New Roman" w:hAnsi="Times New Roman" w:cs="Times New Roman"/>
          <w:sz w:val="24"/>
          <w:szCs w:val="24"/>
        </w:rPr>
        <w:t xml:space="preserve"> </w:t>
      </w:r>
      <w:r w:rsidRPr="008537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совершенствование нормативно-правового регулирования муниципальной службы во взаимосвязи муниципальной и государственной гражданской службы;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муниципальной службой;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развитие системы обучения муниципальных служащих как основы их профессионального и должностного роста;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повышение престижа муниципальной службы как вида профессиональной деятельности;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3. Показатели (индикаторы)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по итогам ее реализации за полугодие, год (нарастающим итогом) и весь период реализации на основании аналитических исследований, мониторинга показателей (индикаторов) Программы.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9" w:anchor="P173" w:history="1">
        <w:r w:rsidRPr="00853751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Сведения</w:t>
        </w:r>
      </w:hyperlink>
      <w:r w:rsidRPr="0085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показателях (индикаторах) Программы и их значениях представлены в приложении №1 к Программе.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4. Основные мероприятия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0" w:anchor="P386" w:history="1">
        <w:r w:rsidRPr="00853751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Перечень</w:t>
        </w:r>
      </w:hyperlink>
      <w:r w:rsidRPr="0085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основных мероприятий Программы представлен в приложении №2 к Программе.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5. Ожидаемые результаты реализации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внедрение кадровых технологий, способствующих повышению результативности деятельности муниципальных служащих Оренбургской области, посредством применения в качестве основы для всесторонней оценки профессиональной служебной деятельности </w:t>
      </w:r>
      <w:r w:rsidRPr="0085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муниципальных служащих методики всесторонней оценки профессиональной служебной деятельности государственных гражданских служащих, разработанной Министерством труда и социальной защиты Российской Федерации;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повышение уровня профессионального развития муниципальных служащих Оренбургской области, включающее в себя разнообразные формы и методы повышения уровня их компетентности и профессионализма, обеспечивающие целевое профессиональное развитие кадрового состава и планирование должностного роста;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увеличение числа квалифицированных специалистов на муниципальной службе;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служащих.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>6. Ресурсное обеспечение реализации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5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профессиональному развитию муниципальных служащих МО </w:t>
      </w:r>
      <w:r w:rsidR="00107EF4" w:rsidRPr="00107EF4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Pr="008537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осуществляется в рамках текущих расходов органа местного самоуправления </w:t>
      </w:r>
    </w:p>
    <w:p w:rsidR="00EE755C" w:rsidRPr="00853751" w:rsidRDefault="00EE755C" w:rsidP="00EE7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53751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proofErr w:type="gramStart"/>
      <w:r w:rsidRPr="0085375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853751">
        <w:rPr>
          <w:rFonts w:ascii="Times New Roman" w:hAnsi="Times New Roman" w:cs="Times New Roman"/>
          <w:b w:val="0"/>
          <w:sz w:val="24"/>
          <w:szCs w:val="24"/>
        </w:rPr>
        <w:t xml:space="preserve"> реализацией Программы</w:t>
      </w:r>
    </w:p>
    <w:p w:rsidR="00EE755C" w:rsidRPr="00853751" w:rsidRDefault="00EE755C" w:rsidP="00EE755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7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3751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администрация муниципального образования </w:t>
      </w:r>
      <w:r w:rsidR="00107EF4" w:rsidRPr="00107EF4">
        <w:rPr>
          <w:rFonts w:ascii="Times New Roman" w:hAnsi="Times New Roman" w:cs="Times New Roman"/>
          <w:iCs/>
          <w:sz w:val="24"/>
          <w:szCs w:val="24"/>
        </w:rPr>
        <w:t>Воздвиженский</w:t>
      </w:r>
      <w:r w:rsidRPr="008537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5375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85375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EE755C" w:rsidRPr="00853751" w:rsidRDefault="00EE755C" w:rsidP="00EE75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Pr="00853751" w:rsidRDefault="00EE755C" w:rsidP="00EE755C">
      <w:pPr>
        <w:spacing w:line="360" w:lineRule="auto"/>
        <w:ind w:right="-1"/>
        <w:jc w:val="both"/>
        <w:rPr>
          <w:sz w:val="24"/>
          <w:szCs w:val="24"/>
        </w:rPr>
      </w:pPr>
    </w:p>
    <w:p w:rsidR="00EE755C" w:rsidRPr="00853751" w:rsidRDefault="00EE755C" w:rsidP="00EE755C">
      <w:pPr>
        <w:ind w:right="-1"/>
        <w:jc w:val="both"/>
        <w:rPr>
          <w:iCs/>
          <w:sz w:val="24"/>
          <w:szCs w:val="24"/>
        </w:rPr>
      </w:pPr>
    </w:p>
    <w:p w:rsidR="00EE755C" w:rsidRDefault="00EE755C">
      <w:pPr>
        <w:sectPr w:rsidR="00EE755C" w:rsidSect="00531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8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5"/>
        <w:gridCol w:w="236"/>
      </w:tblGrid>
      <w:tr w:rsidR="00EE755C" w:rsidRPr="00EE755C" w:rsidTr="006851BA">
        <w:tc>
          <w:tcPr>
            <w:tcW w:w="16585" w:type="dxa"/>
          </w:tcPr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89"/>
            </w:tblGrid>
            <w:tr w:rsidR="00EE755C" w:rsidRPr="00EE755C" w:rsidTr="00EE755C">
              <w:trPr>
                <w:trHeight w:val="1843"/>
                <w:jc w:val="right"/>
              </w:trPr>
              <w:tc>
                <w:tcPr>
                  <w:tcW w:w="5889" w:type="dxa"/>
                </w:tcPr>
                <w:p w:rsidR="00EE755C" w:rsidRPr="00EE755C" w:rsidRDefault="00EE755C" w:rsidP="00EE755C">
                  <w:pPr>
                    <w:tabs>
                      <w:tab w:val="left" w:pos="9776"/>
                    </w:tabs>
                    <w:spacing w:line="276" w:lineRule="auto"/>
                    <w:ind w:left="-426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755C">
                    <w:rPr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EE755C" w:rsidRPr="00EE755C" w:rsidRDefault="00EE755C" w:rsidP="00107EF4">
                  <w:pPr>
                    <w:tabs>
                      <w:tab w:val="left" w:pos="9776"/>
                    </w:tabs>
                    <w:spacing w:line="276" w:lineRule="auto"/>
                    <w:ind w:firstLine="426"/>
                    <w:jc w:val="right"/>
                    <w:rPr>
                      <w:sz w:val="28"/>
                      <w:szCs w:val="28"/>
                    </w:rPr>
                  </w:pPr>
                  <w:r w:rsidRPr="00EE755C">
                    <w:rPr>
                      <w:sz w:val="28"/>
                      <w:szCs w:val="28"/>
                    </w:rPr>
                    <w:t xml:space="preserve">к  программе развития муниципальной службы в  МО </w:t>
                  </w:r>
                  <w:r w:rsidR="00107EF4">
                    <w:rPr>
                      <w:sz w:val="28"/>
                      <w:szCs w:val="28"/>
                    </w:rPr>
                    <w:t>Воздвижен</w:t>
                  </w:r>
                  <w:r w:rsidRPr="00EE755C">
                    <w:rPr>
                      <w:sz w:val="28"/>
                      <w:szCs w:val="28"/>
                    </w:rPr>
                    <w:t xml:space="preserve">ский сельсовет </w:t>
                  </w:r>
                  <w:proofErr w:type="spellStart"/>
                  <w:r w:rsidRPr="00EE755C">
                    <w:rPr>
                      <w:sz w:val="28"/>
                      <w:szCs w:val="28"/>
                    </w:rPr>
                    <w:t>Асекеевского</w:t>
                  </w:r>
                  <w:proofErr w:type="spellEnd"/>
                  <w:r w:rsidRPr="00EE755C">
                    <w:rPr>
                      <w:sz w:val="28"/>
                      <w:szCs w:val="28"/>
                    </w:rPr>
                    <w:t xml:space="preserve"> района Оренбургской области на 2020 - 2024 годы</w:t>
                  </w:r>
                </w:p>
              </w:tc>
            </w:tr>
          </w:tbl>
          <w:p w:rsidR="00EE755C" w:rsidRPr="00EE755C" w:rsidRDefault="00EE755C" w:rsidP="00EE755C">
            <w:pPr>
              <w:widowControl w:val="0"/>
              <w:tabs>
                <w:tab w:val="left" w:pos="9776"/>
              </w:tabs>
              <w:autoSpaceDE w:val="0"/>
              <w:autoSpaceDN w:val="0"/>
              <w:spacing w:line="276" w:lineRule="auto"/>
              <w:ind w:left="-426"/>
              <w:jc w:val="center"/>
              <w:rPr>
                <w:sz w:val="28"/>
                <w:szCs w:val="28"/>
              </w:rPr>
            </w:pPr>
            <w:bookmarkStart w:id="2" w:name="P173"/>
            <w:bookmarkEnd w:id="2"/>
            <w:r w:rsidRPr="00EE755C">
              <w:rPr>
                <w:sz w:val="28"/>
                <w:szCs w:val="28"/>
              </w:rPr>
              <w:t>Сведения</w:t>
            </w:r>
          </w:p>
          <w:p w:rsidR="00EE755C" w:rsidRPr="00EE755C" w:rsidRDefault="00EE755C" w:rsidP="00EE755C">
            <w:pPr>
              <w:widowControl w:val="0"/>
              <w:tabs>
                <w:tab w:val="left" w:pos="9776"/>
              </w:tabs>
              <w:autoSpaceDE w:val="0"/>
              <w:autoSpaceDN w:val="0"/>
              <w:spacing w:line="276" w:lineRule="auto"/>
              <w:ind w:left="-426"/>
              <w:jc w:val="center"/>
              <w:rPr>
                <w:sz w:val="28"/>
                <w:szCs w:val="28"/>
              </w:rPr>
            </w:pPr>
            <w:r w:rsidRPr="00EE755C">
              <w:rPr>
                <w:sz w:val="28"/>
                <w:szCs w:val="28"/>
              </w:rPr>
              <w:t>о показателях (индикаторах) Программы и их значениях</w:t>
            </w:r>
          </w:p>
          <w:p w:rsidR="00EE755C" w:rsidRPr="00EE755C" w:rsidRDefault="00EE755C" w:rsidP="00EE755C">
            <w:pPr>
              <w:widowControl w:val="0"/>
              <w:tabs>
                <w:tab w:val="left" w:pos="9776"/>
              </w:tabs>
              <w:autoSpaceDE w:val="0"/>
              <w:autoSpaceDN w:val="0"/>
              <w:ind w:left="-426"/>
              <w:jc w:val="both"/>
              <w:rPr>
                <w:rFonts w:ascii="Calibri" w:hAnsi="Calibri" w:cs="Calibri"/>
                <w:sz w:val="22"/>
              </w:rPr>
            </w:pPr>
          </w:p>
          <w:tbl>
            <w:tblPr>
              <w:tblW w:w="1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5528"/>
              <w:gridCol w:w="1985"/>
              <w:gridCol w:w="1276"/>
              <w:gridCol w:w="1418"/>
              <w:gridCol w:w="1418"/>
              <w:gridCol w:w="1417"/>
              <w:gridCol w:w="1418"/>
              <w:gridCol w:w="1274"/>
            </w:tblGrid>
            <w:tr w:rsidR="00EE755C" w:rsidRPr="00EE755C" w:rsidTr="006851BA">
              <w:tc>
                <w:tcPr>
                  <w:tcW w:w="596" w:type="dxa"/>
                  <w:vMerge w:val="restart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E755C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EE755C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28" w:type="dxa"/>
                  <w:vMerge w:val="restart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913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985" w:type="dxa"/>
                  <w:vMerge w:val="restart"/>
                </w:tcPr>
                <w:p w:rsidR="00EE755C" w:rsidRPr="00EE755C" w:rsidRDefault="00EE755C" w:rsidP="00107EF4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3" w:firstLine="141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Характеристика показателя (индикатора)</w:t>
                  </w:r>
                </w:p>
              </w:tc>
              <w:tc>
                <w:tcPr>
                  <w:tcW w:w="1276" w:type="dxa"/>
                  <w:vMerge w:val="restart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945" w:type="dxa"/>
                  <w:gridSpan w:val="5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Значение показателя (индикатора)</w:t>
                  </w:r>
                </w:p>
              </w:tc>
            </w:tr>
            <w:tr w:rsidR="00EE755C" w:rsidRPr="00EE755C" w:rsidTr="006851BA">
              <w:tc>
                <w:tcPr>
                  <w:tcW w:w="596" w:type="dxa"/>
                  <w:vMerge/>
                </w:tcPr>
                <w:p w:rsidR="00EE755C" w:rsidRPr="00EE755C" w:rsidRDefault="00EE755C" w:rsidP="00EE755C">
                  <w:pPr>
                    <w:tabs>
                      <w:tab w:val="left" w:pos="9776"/>
                    </w:tabs>
                    <w:spacing w:after="200" w:line="276" w:lineRule="auto"/>
                    <w:ind w:left="-257" w:right="-9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28" w:type="dxa"/>
                  <w:vMerge/>
                </w:tcPr>
                <w:p w:rsidR="00EE755C" w:rsidRPr="00EE755C" w:rsidRDefault="00EE755C" w:rsidP="00EE755C">
                  <w:pPr>
                    <w:tabs>
                      <w:tab w:val="left" w:pos="9776"/>
                    </w:tabs>
                    <w:spacing w:after="200" w:line="276" w:lineRule="auto"/>
                    <w:ind w:left="-426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EE755C" w:rsidRPr="00EE755C" w:rsidRDefault="00EE755C" w:rsidP="00EE755C">
                  <w:pPr>
                    <w:tabs>
                      <w:tab w:val="left" w:pos="9776"/>
                    </w:tabs>
                    <w:spacing w:after="200" w:line="276" w:lineRule="auto"/>
                    <w:ind w:left="-426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E755C" w:rsidRPr="00EE755C" w:rsidRDefault="00EE755C" w:rsidP="00EE755C">
                  <w:pPr>
                    <w:tabs>
                      <w:tab w:val="left" w:pos="9776"/>
                    </w:tabs>
                    <w:spacing w:after="200" w:line="276" w:lineRule="auto"/>
                    <w:ind w:left="-426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2024 год</w:t>
                  </w:r>
                </w:p>
              </w:tc>
            </w:tr>
            <w:tr w:rsidR="00EE755C" w:rsidRPr="00EE755C" w:rsidTr="006851BA">
              <w:trPr>
                <w:trHeight w:val="264"/>
              </w:trPr>
              <w:tc>
                <w:tcPr>
                  <w:tcW w:w="59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E755C" w:rsidRPr="00EE755C" w:rsidTr="006851BA">
              <w:trPr>
                <w:trHeight w:val="753"/>
              </w:trPr>
              <w:tc>
                <w:tcPr>
                  <w:tcW w:w="59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80"/>
                    <w:jc w:val="both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Количество принятых муниципальных правовых актов, регулирующих вопросы муниципальной службы</w:t>
                  </w:r>
                </w:p>
              </w:tc>
              <w:tc>
                <w:tcPr>
                  <w:tcW w:w="1985" w:type="dxa"/>
                </w:tcPr>
                <w:p w:rsid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О</w:t>
                  </w:r>
                  <w:r w:rsidRPr="00EE755C">
                    <w:rPr>
                      <w:sz w:val="24"/>
                      <w:szCs w:val="24"/>
                    </w:rPr>
                    <w:t>сновное</w:t>
                  </w:r>
                </w:p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 xml:space="preserve"> мероприятие</w:t>
                  </w:r>
                </w:p>
              </w:tc>
              <w:tc>
                <w:tcPr>
                  <w:tcW w:w="127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2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78"/>
                      <w:tab w:val="left" w:pos="362"/>
                      <w:tab w:val="left" w:pos="9776"/>
                    </w:tabs>
                    <w:autoSpaceDE w:val="0"/>
                    <w:autoSpaceDN w:val="0"/>
                    <w:ind w:right="330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2</w:t>
                  </w:r>
                </w:p>
              </w:tc>
            </w:tr>
            <w:tr w:rsidR="00EE755C" w:rsidRPr="00EE755C" w:rsidTr="006851BA">
              <w:tc>
                <w:tcPr>
                  <w:tcW w:w="59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2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Количество размещенны</w:t>
                  </w:r>
                  <w:proofErr w:type="gramStart"/>
                  <w:r w:rsidRPr="00EE755C">
                    <w:rPr>
                      <w:sz w:val="24"/>
                      <w:szCs w:val="24"/>
                    </w:rPr>
                    <w:t>х(</w:t>
                  </w:r>
                  <w:proofErr w:type="gramEnd"/>
                  <w:r w:rsidRPr="00EE755C">
                    <w:rPr>
                      <w:sz w:val="24"/>
                      <w:szCs w:val="24"/>
                    </w:rPr>
                    <w:t>актуализированных) материалов по вопросам муниципальной службы в информационно-телекоммуникационной сети «Интернет»</w:t>
                  </w:r>
                </w:p>
              </w:tc>
              <w:tc>
                <w:tcPr>
                  <w:tcW w:w="1985" w:type="dxa"/>
                </w:tcPr>
                <w:p w:rsid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О</w:t>
                  </w:r>
                  <w:r w:rsidRPr="00EE755C">
                    <w:rPr>
                      <w:sz w:val="24"/>
                      <w:szCs w:val="24"/>
                    </w:rPr>
                    <w:t>сновное</w:t>
                  </w:r>
                </w:p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 xml:space="preserve"> мероприятие</w:t>
                  </w:r>
                </w:p>
              </w:tc>
              <w:tc>
                <w:tcPr>
                  <w:tcW w:w="127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2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4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4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sz w:val="24"/>
                      <w:szCs w:val="24"/>
                    </w:rPr>
                  </w:pPr>
                  <w:r w:rsidRPr="00EE755C">
                    <w:rPr>
                      <w:sz w:val="24"/>
                      <w:szCs w:val="24"/>
                    </w:rPr>
                    <w:t>не менее 4</w:t>
                  </w:r>
                </w:p>
              </w:tc>
            </w:tr>
            <w:tr w:rsidR="00EE755C" w:rsidRPr="00EE755C" w:rsidTr="006851BA">
              <w:tc>
                <w:tcPr>
                  <w:tcW w:w="59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2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jc w:val="both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Количество муниципальных служащих, получивших дополнительное профессиональное образование</w:t>
                  </w:r>
                </w:p>
              </w:tc>
              <w:tc>
                <w:tcPr>
                  <w:tcW w:w="1985" w:type="dxa"/>
                </w:tcPr>
                <w:p w:rsid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 xml:space="preserve">основное </w:t>
                  </w:r>
                </w:p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4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3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3</w:t>
                  </w:r>
                </w:p>
              </w:tc>
            </w:tr>
            <w:tr w:rsidR="00EE755C" w:rsidRPr="00EE755C" w:rsidTr="006851BA">
              <w:tc>
                <w:tcPr>
                  <w:tcW w:w="59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57" w:right="-91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28" w:type="dxa"/>
                </w:tcPr>
                <w:p w:rsidR="00EE755C" w:rsidRPr="00EE755C" w:rsidRDefault="00EE755C" w:rsidP="006851BA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firstLine="80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Количество муниципальных служащих, принявших участие в обучающих</w:t>
                  </w:r>
                  <w:r w:rsidR="00107EF4">
                    <w:rPr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мероприятиях, мероприятиях по обмену опытом, служебных стажировках</w:t>
                  </w:r>
                </w:p>
              </w:tc>
              <w:tc>
                <w:tcPr>
                  <w:tcW w:w="1985" w:type="dxa"/>
                </w:tcPr>
                <w:p w:rsid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О</w:t>
                  </w: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сновное</w:t>
                  </w:r>
                </w:p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EE755C" w:rsidRPr="00EE755C" w:rsidRDefault="00EE755C" w:rsidP="00EE755C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426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2" w:hanging="142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3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3</w:t>
                  </w:r>
                </w:p>
              </w:tc>
              <w:tc>
                <w:tcPr>
                  <w:tcW w:w="1417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205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3</w:t>
                  </w:r>
                </w:p>
              </w:tc>
              <w:tc>
                <w:tcPr>
                  <w:tcW w:w="1418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4</w:t>
                  </w:r>
                </w:p>
              </w:tc>
              <w:tc>
                <w:tcPr>
                  <w:tcW w:w="1274" w:type="dxa"/>
                </w:tcPr>
                <w:p w:rsidR="00EE755C" w:rsidRPr="00EE755C" w:rsidRDefault="00EE755C" w:rsidP="00553B83">
                  <w:pPr>
                    <w:widowControl w:val="0"/>
                    <w:tabs>
                      <w:tab w:val="left" w:pos="9776"/>
                    </w:tabs>
                    <w:autoSpaceDE w:val="0"/>
                    <w:autoSpaceDN w:val="0"/>
                    <w:ind w:left="-63" w:firstLine="63"/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EE755C">
                    <w:rPr>
                      <w:color w:val="262626" w:themeColor="text1" w:themeTint="D9"/>
                      <w:sz w:val="24"/>
                      <w:szCs w:val="24"/>
                    </w:rPr>
                    <w:t>не менее 4</w:t>
                  </w:r>
                </w:p>
              </w:tc>
            </w:tr>
          </w:tbl>
          <w:p w:rsidR="00EE755C" w:rsidRPr="00EE755C" w:rsidRDefault="00EE755C" w:rsidP="00EE755C">
            <w:pPr>
              <w:widowControl w:val="0"/>
              <w:tabs>
                <w:tab w:val="left" w:pos="9776"/>
              </w:tabs>
              <w:autoSpaceDE w:val="0"/>
              <w:autoSpaceDN w:val="0"/>
              <w:ind w:left="-426"/>
              <w:jc w:val="both"/>
              <w:rPr>
                <w:rFonts w:ascii="Calibri" w:hAnsi="Calibri" w:cs="Calibri"/>
                <w:sz w:val="22"/>
              </w:rPr>
            </w:pPr>
          </w:p>
          <w:p w:rsidR="00EE755C" w:rsidRPr="00EE755C" w:rsidRDefault="00EE755C" w:rsidP="00EE755C">
            <w:pPr>
              <w:tabs>
                <w:tab w:val="left" w:pos="9776"/>
              </w:tabs>
              <w:ind w:left="-426" w:right="-207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Default="00EE755C" w:rsidP="00EE755C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553B83" w:rsidRDefault="00553B83" w:rsidP="00553B83">
            <w:pPr>
              <w:spacing w:line="276" w:lineRule="auto"/>
              <w:outlineLvl w:val="1"/>
              <w:rPr>
                <w:sz w:val="28"/>
                <w:szCs w:val="28"/>
              </w:rPr>
            </w:pPr>
          </w:p>
          <w:p w:rsidR="00EE755C" w:rsidRPr="00EE755C" w:rsidRDefault="00EE755C" w:rsidP="00553B83">
            <w:pPr>
              <w:spacing w:line="276" w:lineRule="auto"/>
              <w:outlineLvl w:val="1"/>
              <w:rPr>
                <w:sz w:val="28"/>
                <w:szCs w:val="28"/>
              </w:rPr>
            </w:pPr>
            <w:r w:rsidRPr="00EE755C">
              <w:rPr>
                <w:sz w:val="28"/>
                <w:szCs w:val="28"/>
              </w:rPr>
              <w:lastRenderedPageBreak/>
              <w:t>ы</w:t>
            </w:r>
          </w:p>
          <w:p w:rsidR="00EE755C" w:rsidRPr="00EE755C" w:rsidRDefault="00EE755C" w:rsidP="00EE755C">
            <w:pPr>
              <w:jc w:val="both"/>
              <w:rPr>
                <w:sz w:val="24"/>
                <w:szCs w:val="24"/>
              </w:rPr>
            </w:pPr>
          </w:p>
        </w:tc>
      </w:tr>
    </w:tbl>
    <w:p w:rsidR="00553B83" w:rsidRDefault="00553B83" w:rsidP="00EE75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bookmarkStart w:id="3" w:name="P386"/>
      <w:bookmarkEnd w:id="3"/>
    </w:p>
    <w:p w:rsidR="00553B83" w:rsidRDefault="00553B83" w:rsidP="00553B8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553B83" w:rsidRDefault="00553B83" w:rsidP="00553B8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 программе развития муниципальной службы в МО </w:t>
      </w:r>
      <w:r w:rsidR="00107EF4">
        <w:rPr>
          <w:rFonts w:ascii="Times New Roman" w:hAnsi="Times New Roman" w:cs="Times New Roman"/>
          <w:sz w:val="28"/>
          <w:szCs w:val="28"/>
          <w:lang w:eastAsia="en-US"/>
        </w:rPr>
        <w:t>Воздвижен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ский</w:t>
      </w:r>
    </w:p>
    <w:p w:rsidR="00553B83" w:rsidRDefault="00553B83" w:rsidP="00553B8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Оренбургской области на 2020 - 2024 годы</w:t>
      </w:r>
    </w:p>
    <w:p w:rsidR="00553B83" w:rsidRDefault="00553B83" w:rsidP="00107EF4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p w:rsidR="00EE755C" w:rsidRPr="00EE755C" w:rsidRDefault="00EE755C" w:rsidP="00EE75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EE755C">
        <w:rPr>
          <w:sz w:val="28"/>
          <w:szCs w:val="28"/>
        </w:rPr>
        <w:t>Перечень</w:t>
      </w:r>
    </w:p>
    <w:p w:rsidR="00EE755C" w:rsidRPr="00EE755C" w:rsidRDefault="00EE755C" w:rsidP="00EE75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EE755C">
        <w:rPr>
          <w:sz w:val="28"/>
          <w:szCs w:val="28"/>
        </w:rPr>
        <w:t>основных мероприятий Программы</w:t>
      </w:r>
    </w:p>
    <w:p w:rsidR="00EE755C" w:rsidRPr="00EE755C" w:rsidRDefault="00EE755C" w:rsidP="00EE75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5082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68"/>
        <w:gridCol w:w="2268"/>
        <w:gridCol w:w="1359"/>
        <w:gridCol w:w="1418"/>
        <w:gridCol w:w="2326"/>
        <w:gridCol w:w="2410"/>
        <w:gridCol w:w="2493"/>
      </w:tblGrid>
      <w:tr w:rsidR="00EE755C" w:rsidRPr="00EE755C" w:rsidTr="0013672B">
        <w:trPr>
          <w:trHeight w:val="281"/>
          <w:jc w:val="center"/>
        </w:trPr>
        <w:tc>
          <w:tcPr>
            <w:tcW w:w="540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№</w:t>
            </w:r>
            <w:proofErr w:type="gramStart"/>
            <w:r w:rsidRPr="00EE755C">
              <w:rPr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EE755C">
              <w:rPr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2777" w:type="dxa"/>
            <w:gridSpan w:val="2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Срок</w:t>
            </w:r>
          </w:p>
        </w:tc>
        <w:tc>
          <w:tcPr>
            <w:tcW w:w="2326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410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Последствия не</w:t>
            </w:r>
            <w:r w:rsidR="000E4BE5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493" w:type="dxa"/>
            <w:vMerge w:val="restart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Связь с показателями</w:t>
            </w:r>
          </w:p>
        </w:tc>
      </w:tr>
      <w:tr w:rsidR="00EE755C" w:rsidRPr="00EE755C" w:rsidTr="0013672B">
        <w:trPr>
          <w:trHeight w:val="142"/>
          <w:jc w:val="center"/>
        </w:trPr>
        <w:tc>
          <w:tcPr>
            <w:tcW w:w="540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окончания реализации</w:t>
            </w:r>
          </w:p>
        </w:tc>
        <w:tc>
          <w:tcPr>
            <w:tcW w:w="2326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/>
          </w:tcPr>
          <w:p w:rsidR="00EE755C" w:rsidRPr="00EE755C" w:rsidRDefault="00EE755C" w:rsidP="00EE755C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EE755C" w:rsidRPr="00EE755C" w:rsidTr="0013672B">
        <w:trPr>
          <w:trHeight w:val="207"/>
          <w:jc w:val="center"/>
        </w:trPr>
        <w:tc>
          <w:tcPr>
            <w:tcW w:w="54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EE755C" w:rsidRPr="00EE755C" w:rsidTr="0013672B">
        <w:trPr>
          <w:trHeight w:val="318"/>
          <w:jc w:val="center"/>
        </w:trPr>
        <w:tc>
          <w:tcPr>
            <w:tcW w:w="54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Подготовка муниципальных правовых актов, регулирующих вопросы муниципальной службы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администрация муниципального образования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</w:t>
            </w:r>
            <w:r w:rsidR="000E4BE5">
              <w:rPr>
                <w:color w:val="0D0D0D" w:themeColor="text1" w:themeTint="F2"/>
                <w:sz w:val="24"/>
                <w:szCs w:val="24"/>
              </w:rPr>
              <w:t>Оренбургской области</w:t>
            </w:r>
          </w:p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9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2024 год</w:t>
            </w:r>
          </w:p>
        </w:tc>
        <w:tc>
          <w:tcPr>
            <w:tcW w:w="2326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</w:t>
            </w:r>
          </w:p>
        </w:tc>
        <w:tc>
          <w:tcPr>
            <w:tcW w:w="241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неисполнение нормативных правовых актов Российской Федерации и Оренбургской области, направленных на развитие муниципальной службы</w:t>
            </w:r>
          </w:p>
        </w:tc>
        <w:tc>
          <w:tcPr>
            <w:tcW w:w="2493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количество принятых муниципальных правовых актов, регулирующих вопросы муниципальной службы</w:t>
            </w:r>
          </w:p>
        </w:tc>
      </w:tr>
      <w:tr w:rsidR="00EE755C" w:rsidRPr="00EE755C" w:rsidTr="0013672B">
        <w:trPr>
          <w:trHeight w:val="142"/>
          <w:jc w:val="center"/>
        </w:trPr>
        <w:tc>
          <w:tcPr>
            <w:tcW w:w="54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Разработка и размещение (актуализация)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материалов по вопросам муниципальной службы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="00107EF4" w:rsidRPr="00107EF4">
              <w:rPr>
                <w:iCs/>
                <w:sz w:val="24"/>
                <w:szCs w:val="24"/>
              </w:rPr>
              <w:lastRenderedPageBreak/>
              <w:t>Воздвиженский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области;</w:t>
            </w:r>
          </w:p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59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2024 год</w:t>
            </w:r>
          </w:p>
        </w:tc>
        <w:tc>
          <w:tcPr>
            <w:tcW w:w="2326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развитие правовой грамотности муниципальных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служащих; увеличение числа квалифицированных специалистов на муниципальной службе в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 Оренбургской области</w:t>
            </w:r>
          </w:p>
        </w:tc>
        <w:tc>
          <w:tcPr>
            <w:tcW w:w="241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непрофессионализм и некомпетентность муниципальных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служащих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 при выполнении своих должностных обязанностей</w:t>
            </w:r>
          </w:p>
        </w:tc>
        <w:tc>
          <w:tcPr>
            <w:tcW w:w="2493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количество размещенных (актуализированных)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материалов по вопросам муниципальной службы в информационно-телекоммуникационной сети «Интернет»</w:t>
            </w:r>
          </w:p>
        </w:tc>
      </w:tr>
      <w:tr w:rsidR="00EE755C" w:rsidRPr="00EE755C" w:rsidTr="0013672B">
        <w:trPr>
          <w:trHeight w:val="142"/>
          <w:jc w:val="center"/>
        </w:trPr>
        <w:tc>
          <w:tcPr>
            <w:tcW w:w="54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Организация и проведение дополнительного профессионального образования муниципальных служащих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области, участие в обучающих мероприятиях, в том числе выездных, мероприятиях по обмену опытом, служебных стажировках</w:t>
            </w:r>
          </w:p>
        </w:tc>
        <w:tc>
          <w:tcPr>
            <w:tcW w:w="226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администрация муниципального образования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области;</w:t>
            </w:r>
          </w:p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59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>2024 год</w:t>
            </w:r>
          </w:p>
        </w:tc>
        <w:tc>
          <w:tcPr>
            <w:tcW w:w="2326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повышение уровня профессионального развития муниципальных служащих 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области, включающее разнообразные формы и методы повышения уровня их компетентности и профессионализма, обеспечивающих целевое профессиональное развитие кадрового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состава и планирование должностного роста</w:t>
            </w:r>
          </w:p>
        </w:tc>
        <w:tc>
          <w:tcPr>
            <w:tcW w:w="2410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непрофессионализм и некомпетентность муниципальных служащих при выполнении своих должностных обязанностей;</w:t>
            </w:r>
          </w:p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некачественное исполнение должностных обязанностей муниципальными служащими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493" w:type="dxa"/>
          </w:tcPr>
          <w:p w:rsidR="00EE755C" w:rsidRPr="00EE755C" w:rsidRDefault="00EE755C" w:rsidP="00EE75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E755C">
              <w:rPr>
                <w:color w:val="0D0D0D" w:themeColor="text1" w:themeTint="F2"/>
                <w:sz w:val="24"/>
                <w:szCs w:val="24"/>
              </w:rPr>
              <w:t xml:space="preserve">количество муниципальных служащих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области, получивших дополнительное профессиональное образование; количество муниципальных служащих МО </w:t>
            </w:r>
            <w:r w:rsidR="00107EF4" w:rsidRPr="00107EF4">
              <w:rPr>
                <w:iCs/>
                <w:sz w:val="24"/>
                <w:szCs w:val="24"/>
              </w:rPr>
              <w:t>Воздвиженский</w:t>
            </w:r>
            <w:r w:rsidR="00107EF4" w:rsidRPr="00EE755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t xml:space="preserve">сельсовет </w:t>
            </w:r>
            <w:proofErr w:type="spellStart"/>
            <w:r w:rsidRPr="00EE755C">
              <w:rPr>
                <w:color w:val="0D0D0D" w:themeColor="text1" w:themeTint="F2"/>
                <w:sz w:val="24"/>
                <w:szCs w:val="24"/>
              </w:rPr>
              <w:t>Асекеевского</w:t>
            </w:r>
            <w:proofErr w:type="spellEnd"/>
            <w:r w:rsidRPr="00EE755C">
              <w:rPr>
                <w:color w:val="0D0D0D" w:themeColor="text1" w:themeTint="F2"/>
                <w:sz w:val="24"/>
                <w:szCs w:val="24"/>
              </w:rPr>
              <w:t xml:space="preserve"> района Оренбургской области, принявших участие в обучающих </w:t>
            </w:r>
            <w:r w:rsidRPr="00EE755C">
              <w:rPr>
                <w:color w:val="0D0D0D" w:themeColor="text1" w:themeTint="F2"/>
                <w:sz w:val="24"/>
                <w:szCs w:val="24"/>
              </w:rPr>
              <w:lastRenderedPageBreak/>
              <w:t>мероприятиях, мероприятиях по обмену опытом, служебных стажировках</w:t>
            </w:r>
          </w:p>
        </w:tc>
      </w:tr>
    </w:tbl>
    <w:p w:rsidR="00EE755C" w:rsidRPr="00EE755C" w:rsidRDefault="00EE755C" w:rsidP="00EE755C">
      <w:pPr>
        <w:spacing w:before="240" w:after="200" w:line="276" w:lineRule="auto"/>
        <w:ind w:right="-314" w:firstLine="709"/>
        <w:rPr>
          <w:rFonts w:eastAsiaTheme="minorHAnsi"/>
          <w:sz w:val="22"/>
          <w:szCs w:val="22"/>
          <w:lang w:eastAsia="en-US"/>
        </w:rPr>
        <w:sectPr w:rsidR="00EE755C" w:rsidRPr="00EE755C" w:rsidSect="00EE755C">
          <w:pgSz w:w="16838" w:h="11905" w:orient="landscape"/>
          <w:pgMar w:top="720" w:right="720" w:bottom="720" w:left="720" w:header="0" w:footer="0" w:gutter="0"/>
          <w:cols w:space="720"/>
          <w:docGrid w:linePitch="272"/>
        </w:sectPr>
      </w:pPr>
      <w:r w:rsidRPr="00EE755C">
        <w:rPr>
          <w:rFonts w:eastAsiaTheme="minorHAnsi"/>
          <w:sz w:val="22"/>
          <w:szCs w:val="22"/>
          <w:lang w:eastAsia="en-US"/>
        </w:rPr>
        <w:lastRenderedPageBreak/>
        <w:t>.</w:t>
      </w:r>
    </w:p>
    <w:p w:rsidR="00EE755C" w:rsidRPr="00EE755C" w:rsidRDefault="00EE755C" w:rsidP="00EE75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64946" w:rsidRDefault="00564946"/>
    <w:sectPr w:rsidR="00564946" w:rsidSect="002C2B2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49"/>
    <w:rsid w:val="000E4BE5"/>
    <w:rsid w:val="00107EF4"/>
    <w:rsid w:val="00553B83"/>
    <w:rsid w:val="00564946"/>
    <w:rsid w:val="006851BA"/>
    <w:rsid w:val="00C37649"/>
    <w:rsid w:val="00EE755C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55C"/>
    <w:rPr>
      <w:color w:val="0000FF" w:themeColor="hyperlink"/>
      <w:u w:val="single"/>
    </w:rPr>
  </w:style>
  <w:style w:type="paragraph" w:customStyle="1" w:styleId="ConsPlusNormal">
    <w:name w:val="ConsPlusNormal"/>
    <w:rsid w:val="00EE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55C"/>
    <w:rPr>
      <w:color w:val="0000FF" w:themeColor="hyperlink"/>
      <w:u w:val="single"/>
    </w:rPr>
  </w:style>
  <w:style w:type="paragraph" w:customStyle="1" w:styleId="ConsPlusNormal">
    <w:name w:val="ConsPlusNormal"/>
    <w:rsid w:val="00EE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4F295302E4C822BBBC50DBB6A347F225079AE13F144F691FFF89271F25F7FA4B85133E96A2DC7E5D204A8C2382BEB626525ECCE27D86624T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4F295302E4C822BBBC50DBB6A347F225079AE13F144F691FFF89271F25F7FB6B8093FE96B31C0E2C752F98426T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CE239E752C7191A7B96AA5B99ABB836BA024C478BF2F84CE60D6B5B5541D5463299E446DE1A47FCB8A87CF7CFE08FB97A8D438CBFEDB7A3EDE779i0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&#1050;&#1088;&#1072;&#1089;&#1085;&#1086;&#1075;&#1086;&#1088;&#1089;&#1082;&#1080;&#1081;\Documents\&#1087;&#1086;&#1089;&#1090;&#1086;&#1085;&#1086;&#1074;&#1083;&#1077;&#1085;&#1080;&#1103;\&#1055;&#1086;&#1089;&#1090;.11&#1075;-16&#1075;\&#1087;&#1086;&#1089;&#1090;20\&#1087;&#1086;&#1089;&#1090;\&#1055;&#1088;&#1086;&#1075;&#1088;&#1072;&#1084;&#1084;&#1072;%20&#1088;&#1072;&#1079;&#1074;&#1080;&#1090;&#1080;&#1103;%20&#1084;&#1091;&#1085;&#1080;&#1094;&#1080;&#1087;&#1072;&#1083;&#1100;&#1085;&#1086;&#1081;%20&#1089;&#1083;&#1091;&#1078;&#1073;&#1099;%20-%20&#1082;&#1086;&#1087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8;&#1072;&#1089;&#1085;&#1086;&#1075;&#1086;&#1088;&#1089;&#1082;&#1080;&#1081;\Documents\&#1087;&#1086;&#1089;&#1090;&#1086;&#1085;&#1086;&#1074;&#1083;&#1077;&#1085;&#1080;&#1103;\&#1055;&#1086;&#1089;&#1090;.11&#1075;-16&#1075;\&#1087;&#1086;&#1089;&#1090;20\&#1087;&#1086;&#1089;&#1090;\&#1055;&#1088;&#1086;&#1075;&#1088;&#1072;&#1084;&#1084;&#1072;%20&#1088;&#1072;&#1079;&#1074;&#1080;&#1090;&#1080;&#1103;%20&#1084;&#1091;&#1085;&#1080;&#1094;&#1080;&#1087;&#1072;&#1083;&#1100;&#1085;&#1086;&#1081;%20&#1089;&#1083;&#1091;&#1078;&#1073;&#1099;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Воздвижинка</cp:lastModifiedBy>
  <cp:revision>5</cp:revision>
  <cp:lastPrinted>2020-08-21T06:38:00Z</cp:lastPrinted>
  <dcterms:created xsi:type="dcterms:W3CDTF">2020-08-21T05:54:00Z</dcterms:created>
  <dcterms:modified xsi:type="dcterms:W3CDTF">2020-08-21T06:42:00Z</dcterms:modified>
</cp:coreProperties>
</file>