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675"/>
        <w:tblW w:w="0" w:type="auto"/>
        <w:tblLook w:val="01E0"/>
      </w:tblPr>
      <w:tblGrid>
        <w:gridCol w:w="9571"/>
      </w:tblGrid>
      <w:tr w:rsidR="00C23A57" w:rsidRPr="00E2406D" w:rsidTr="005E032E">
        <w:tc>
          <w:tcPr>
            <w:tcW w:w="9571" w:type="dxa"/>
          </w:tcPr>
          <w:p w:rsidR="00C23A57" w:rsidRPr="00111BC3" w:rsidRDefault="00C23A57" w:rsidP="00FF1EE2">
            <w:pPr>
              <w:jc w:val="center"/>
              <w:rPr>
                <w:sz w:val="28"/>
                <w:szCs w:val="28"/>
              </w:rPr>
            </w:pPr>
            <w:r>
              <w:rPr>
                <w:noProof/>
                <w:sz w:val="28"/>
                <w:szCs w:val="28"/>
              </w:rPr>
              <w:drawing>
                <wp:inline distT="0" distB="0" distL="0" distR="0">
                  <wp:extent cx="504825" cy="628650"/>
                  <wp:effectExtent l="19050" t="0" r="9525" b="0"/>
                  <wp:docPr id="2"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C23A57" w:rsidRPr="00111BC3" w:rsidRDefault="00C23A57" w:rsidP="00FF1EE2">
            <w:pPr>
              <w:jc w:val="center"/>
              <w:rPr>
                <w:b/>
                <w:caps/>
                <w:sz w:val="28"/>
                <w:szCs w:val="28"/>
              </w:rPr>
            </w:pPr>
            <w:r w:rsidRPr="00111BC3">
              <w:rPr>
                <w:b/>
                <w:caps/>
                <w:sz w:val="28"/>
                <w:szCs w:val="28"/>
              </w:rPr>
              <w:t>СОВЕТ ДЕПУТАТОВ</w:t>
            </w:r>
          </w:p>
          <w:p w:rsidR="00C23A57" w:rsidRPr="00111BC3" w:rsidRDefault="00C23A57" w:rsidP="00FF1EE2">
            <w:pPr>
              <w:jc w:val="center"/>
              <w:rPr>
                <w:b/>
                <w:caps/>
                <w:sz w:val="28"/>
                <w:szCs w:val="28"/>
              </w:rPr>
            </w:pPr>
            <w:r w:rsidRPr="00111BC3">
              <w:rPr>
                <w:b/>
                <w:caps/>
                <w:sz w:val="28"/>
                <w:szCs w:val="28"/>
              </w:rPr>
              <w:t xml:space="preserve">МУНИЦИПАЛЬНОГО ОБРАЗОВАНИЯ </w:t>
            </w:r>
          </w:p>
          <w:p w:rsidR="00C23A57" w:rsidRPr="00111BC3" w:rsidRDefault="00C23A57" w:rsidP="00FF1EE2">
            <w:pPr>
              <w:jc w:val="center"/>
              <w:rPr>
                <w:b/>
                <w:caps/>
                <w:sz w:val="28"/>
                <w:szCs w:val="28"/>
              </w:rPr>
            </w:pPr>
            <w:r w:rsidRPr="00111BC3">
              <w:rPr>
                <w:b/>
                <w:caps/>
                <w:sz w:val="28"/>
                <w:szCs w:val="28"/>
              </w:rPr>
              <w:t>ВОЗДВИЖЕНСКИЙ СЕЛЬСОВЕТ</w:t>
            </w:r>
          </w:p>
          <w:p w:rsidR="00C23A57" w:rsidRPr="00111BC3" w:rsidRDefault="00C23A57" w:rsidP="00FF1EE2">
            <w:pPr>
              <w:jc w:val="center"/>
              <w:rPr>
                <w:b/>
                <w:caps/>
                <w:sz w:val="28"/>
                <w:szCs w:val="28"/>
              </w:rPr>
            </w:pPr>
            <w:r w:rsidRPr="00111BC3">
              <w:rPr>
                <w:b/>
                <w:caps/>
                <w:sz w:val="28"/>
                <w:szCs w:val="28"/>
              </w:rPr>
              <w:t>АСЕКЕЕВСКОГО РАЙОНА ОРЕНБУРГСКОЙ ОБЛАСТИ</w:t>
            </w:r>
          </w:p>
          <w:p w:rsidR="00C23A57" w:rsidRPr="00FF1EE2" w:rsidRDefault="00C23A57" w:rsidP="00FF1EE2">
            <w:pPr>
              <w:jc w:val="center"/>
              <w:rPr>
                <w:b/>
                <w:sz w:val="28"/>
                <w:szCs w:val="28"/>
              </w:rPr>
            </w:pPr>
            <w:r w:rsidRPr="00111BC3">
              <w:rPr>
                <w:b/>
                <w:sz w:val="28"/>
                <w:szCs w:val="28"/>
              </w:rPr>
              <w:t>третьего  созыва</w:t>
            </w:r>
          </w:p>
          <w:p w:rsidR="00C23A57" w:rsidRPr="00111BC3" w:rsidRDefault="00C23A57" w:rsidP="00FF1EE2">
            <w:pPr>
              <w:jc w:val="center"/>
              <w:rPr>
                <w:b/>
                <w:caps/>
                <w:sz w:val="28"/>
                <w:szCs w:val="28"/>
              </w:rPr>
            </w:pPr>
            <w:r w:rsidRPr="00111BC3">
              <w:rPr>
                <w:b/>
                <w:caps/>
                <w:sz w:val="28"/>
                <w:szCs w:val="28"/>
              </w:rPr>
              <w:t>РЕШЕНИЕ</w:t>
            </w:r>
          </w:p>
          <w:p w:rsidR="00C23A57" w:rsidRPr="00E2406D" w:rsidRDefault="00C23A57" w:rsidP="00FF1EE2">
            <w:pPr>
              <w:widowControl w:val="0"/>
              <w:autoSpaceDE w:val="0"/>
              <w:autoSpaceDN w:val="0"/>
              <w:adjustRightInd w:val="0"/>
              <w:jc w:val="center"/>
            </w:pPr>
          </w:p>
        </w:tc>
      </w:tr>
    </w:tbl>
    <w:p w:rsidR="00C23A57" w:rsidRPr="00175105" w:rsidRDefault="00C23A57" w:rsidP="009503D7">
      <w:pPr>
        <w:tabs>
          <w:tab w:val="left" w:pos="3720"/>
        </w:tabs>
        <w:rPr>
          <w:b/>
          <w:sz w:val="28"/>
          <w:szCs w:val="28"/>
        </w:rPr>
      </w:pPr>
    </w:p>
    <w:p w:rsidR="008D5ACE" w:rsidRDefault="009503D7" w:rsidP="00FF1EE2">
      <w:pPr>
        <w:tabs>
          <w:tab w:val="left" w:pos="1763"/>
        </w:tabs>
        <w:rPr>
          <w:b/>
          <w:sz w:val="28"/>
          <w:szCs w:val="28"/>
        </w:rPr>
      </w:pPr>
      <w:r>
        <w:rPr>
          <w:b/>
          <w:sz w:val="28"/>
          <w:szCs w:val="28"/>
        </w:rPr>
        <w:t>25.11</w:t>
      </w:r>
      <w:r w:rsidR="00C23A57" w:rsidRPr="001123C7">
        <w:rPr>
          <w:b/>
          <w:sz w:val="28"/>
          <w:szCs w:val="28"/>
        </w:rPr>
        <w:t>.2016</w:t>
      </w:r>
      <w:r w:rsidR="00C23A57" w:rsidRPr="001123C7">
        <w:rPr>
          <w:b/>
          <w:sz w:val="28"/>
          <w:szCs w:val="28"/>
        </w:rPr>
        <w:tab/>
        <w:t xml:space="preserve">                                                                  </w:t>
      </w:r>
      <w:r w:rsidR="00C23A57">
        <w:rPr>
          <w:b/>
          <w:sz w:val="28"/>
          <w:szCs w:val="28"/>
        </w:rPr>
        <w:t xml:space="preserve">                            № </w:t>
      </w:r>
      <w:r>
        <w:rPr>
          <w:b/>
          <w:sz w:val="28"/>
          <w:szCs w:val="28"/>
        </w:rPr>
        <w:t>48</w:t>
      </w:r>
    </w:p>
    <w:p w:rsidR="009503D7" w:rsidRPr="00FF1EE2" w:rsidRDefault="009503D7" w:rsidP="00FF1EE2">
      <w:pPr>
        <w:tabs>
          <w:tab w:val="left" w:pos="1763"/>
        </w:tabs>
        <w:rPr>
          <w:b/>
          <w:sz w:val="28"/>
          <w:szCs w:val="28"/>
        </w:rPr>
      </w:pPr>
    </w:p>
    <w:p w:rsidR="008D5ACE" w:rsidRPr="00FF1EE2" w:rsidRDefault="008D5ACE" w:rsidP="00FF1EE2">
      <w:pPr>
        <w:pStyle w:val="1"/>
        <w:rPr>
          <w:b/>
          <w:szCs w:val="28"/>
        </w:rPr>
      </w:pPr>
      <w:r w:rsidRPr="00FF1EE2">
        <w:rPr>
          <w:b/>
          <w:bCs/>
          <w:szCs w:val="28"/>
        </w:rPr>
        <w:t xml:space="preserve"> </w:t>
      </w:r>
      <w:bookmarkStart w:id="0" w:name="_Toc105952706"/>
      <w:r w:rsidRPr="00FF1EE2">
        <w:rPr>
          <w:b/>
          <w:szCs w:val="28"/>
        </w:rPr>
        <w:t>Об установлении налога на имущество физических лиц</w:t>
      </w:r>
      <w:bookmarkEnd w:id="0"/>
      <w:r w:rsidRPr="00FF1EE2">
        <w:rPr>
          <w:b/>
          <w:szCs w:val="28"/>
        </w:rPr>
        <w:t>.</w:t>
      </w:r>
    </w:p>
    <w:p w:rsidR="008D5ACE" w:rsidRPr="00FF1EE2" w:rsidRDefault="008D5ACE" w:rsidP="00FF1EE2">
      <w:pPr>
        <w:jc w:val="both"/>
        <w:rPr>
          <w:sz w:val="28"/>
          <w:szCs w:val="28"/>
        </w:rPr>
      </w:pPr>
    </w:p>
    <w:p w:rsidR="008D5ACE" w:rsidRPr="00C84F8E" w:rsidRDefault="008D5ACE" w:rsidP="00C84F8E">
      <w:pPr>
        <w:jc w:val="both"/>
        <w:rPr>
          <w:caps/>
          <w:sz w:val="28"/>
          <w:szCs w:val="28"/>
        </w:rPr>
      </w:pPr>
      <w:r w:rsidRPr="00FF1EE2">
        <w:rPr>
          <w:sz w:val="28"/>
          <w:szCs w:val="28"/>
        </w:rPr>
        <w:t xml:space="preserve">        В соответствии с Налоговым кодексом  Российской Федерации, законом Оренбургской области от 12.11.2015 №3457/971 –ОЗ «Об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депутатов муниципального образования </w:t>
      </w:r>
      <w:r w:rsidR="00C23A57" w:rsidRPr="00FF1EE2">
        <w:rPr>
          <w:sz w:val="28"/>
          <w:szCs w:val="28"/>
        </w:rPr>
        <w:t>Воздвижен</w:t>
      </w:r>
      <w:r w:rsidRPr="00FF1EE2">
        <w:rPr>
          <w:sz w:val="28"/>
          <w:szCs w:val="28"/>
        </w:rPr>
        <w:t>ский сельсовет</w:t>
      </w:r>
      <w:r w:rsidR="00C23A57" w:rsidRPr="00FF1EE2">
        <w:rPr>
          <w:caps/>
          <w:sz w:val="28"/>
          <w:szCs w:val="28"/>
        </w:rPr>
        <w:t xml:space="preserve"> </w:t>
      </w:r>
      <w:r w:rsidR="00C23A57" w:rsidRPr="00FF1EE2">
        <w:rPr>
          <w:sz w:val="28"/>
          <w:szCs w:val="28"/>
        </w:rPr>
        <w:t>Асекеевского района Оренбургской области</w:t>
      </w:r>
      <w:r w:rsidR="00C84F8E">
        <w:rPr>
          <w:sz w:val="28"/>
          <w:szCs w:val="28"/>
        </w:rPr>
        <w:t xml:space="preserve"> </w:t>
      </w:r>
      <w:r w:rsidRPr="00C84F8E">
        <w:rPr>
          <w:sz w:val="28"/>
          <w:szCs w:val="28"/>
        </w:rPr>
        <w:t>решил:</w:t>
      </w:r>
    </w:p>
    <w:p w:rsidR="008D5ACE" w:rsidRPr="00FF1EE2" w:rsidRDefault="008D5ACE" w:rsidP="00FF1EE2">
      <w:pPr>
        <w:pStyle w:val="a3"/>
        <w:numPr>
          <w:ilvl w:val="0"/>
          <w:numId w:val="1"/>
        </w:numPr>
        <w:ind w:left="0" w:firstLine="0"/>
        <w:jc w:val="both"/>
        <w:rPr>
          <w:sz w:val="28"/>
          <w:szCs w:val="28"/>
        </w:rPr>
      </w:pPr>
      <w:r w:rsidRPr="00FF1EE2">
        <w:rPr>
          <w:sz w:val="28"/>
          <w:szCs w:val="28"/>
        </w:rPr>
        <w:t xml:space="preserve"> Установить и ввести в действие с 1 января 2017 года на территории муниципального образования</w:t>
      </w:r>
      <w:r w:rsidR="00C23A57" w:rsidRPr="00FF1EE2">
        <w:rPr>
          <w:sz w:val="28"/>
          <w:szCs w:val="28"/>
        </w:rPr>
        <w:t xml:space="preserve"> Воздвиженский сельсовет</w:t>
      </w:r>
      <w:r w:rsidR="00C23A57" w:rsidRPr="00FF1EE2">
        <w:rPr>
          <w:caps/>
          <w:sz w:val="28"/>
          <w:szCs w:val="28"/>
        </w:rPr>
        <w:t xml:space="preserve"> </w:t>
      </w:r>
      <w:r w:rsidR="00C23A57" w:rsidRPr="00FF1EE2">
        <w:rPr>
          <w:sz w:val="28"/>
          <w:szCs w:val="28"/>
        </w:rPr>
        <w:t>Асекеевского района Оренбургской области</w:t>
      </w:r>
      <w:r w:rsidRPr="00FF1EE2">
        <w:rPr>
          <w:sz w:val="28"/>
          <w:szCs w:val="28"/>
        </w:rPr>
        <w:t xml:space="preserve"> налог на имущество физических лиц. </w:t>
      </w:r>
    </w:p>
    <w:p w:rsidR="008D5ACE" w:rsidRPr="00FF1EE2" w:rsidRDefault="008D5ACE" w:rsidP="00FF1EE2">
      <w:pPr>
        <w:pStyle w:val="a3"/>
        <w:numPr>
          <w:ilvl w:val="0"/>
          <w:numId w:val="1"/>
        </w:numPr>
        <w:autoSpaceDE w:val="0"/>
        <w:autoSpaceDN w:val="0"/>
        <w:adjustRightInd w:val="0"/>
        <w:ind w:left="0" w:firstLine="0"/>
        <w:jc w:val="both"/>
        <w:rPr>
          <w:rFonts w:eastAsiaTheme="minorHAnsi"/>
          <w:sz w:val="28"/>
          <w:szCs w:val="28"/>
          <w:lang w:eastAsia="en-US"/>
        </w:rPr>
      </w:pPr>
      <w:r w:rsidRPr="00FF1EE2">
        <w:rPr>
          <w:rFonts w:eastAsiaTheme="minorHAnsi"/>
          <w:sz w:val="28"/>
          <w:szCs w:val="28"/>
          <w:lang w:eastAsia="en-US"/>
        </w:rPr>
        <w:t>Установить, что налоговая база по налогу на имущество физических лиц определяется исходя из кадастровой стоимости объектов налогообложения.</w:t>
      </w:r>
    </w:p>
    <w:p w:rsidR="008D5ACE" w:rsidRPr="00FF1EE2" w:rsidRDefault="008D5ACE" w:rsidP="00FF1EE2">
      <w:pPr>
        <w:pStyle w:val="a3"/>
        <w:numPr>
          <w:ilvl w:val="0"/>
          <w:numId w:val="1"/>
        </w:numPr>
        <w:autoSpaceDE w:val="0"/>
        <w:autoSpaceDN w:val="0"/>
        <w:adjustRightInd w:val="0"/>
        <w:ind w:left="0" w:firstLine="0"/>
        <w:jc w:val="both"/>
        <w:rPr>
          <w:rFonts w:eastAsiaTheme="minorHAnsi"/>
          <w:sz w:val="28"/>
          <w:szCs w:val="28"/>
          <w:lang w:eastAsia="en-US"/>
        </w:rPr>
      </w:pPr>
      <w:r w:rsidRPr="00FF1EE2">
        <w:rPr>
          <w:rFonts w:eastAsiaTheme="minorHAnsi"/>
          <w:sz w:val="28"/>
          <w:szCs w:val="28"/>
          <w:lang w:eastAsia="en-US"/>
        </w:rPr>
        <w:t>Установить налоговые ставки по налогу на имущество физических лиц в следующих размерах:</w:t>
      </w:r>
    </w:p>
    <w:p w:rsidR="008D5ACE" w:rsidRPr="00FF1EE2" w:rsidRDefault="008D5ACE" w:rsidP="00FF1EE2">
      <w:pPr>
        <w:shd w:val="clear" w:color="auto" w:fill="FFFFFF"/>
        <w:jc w:val="both"/>
        <w:rPr>
          <w:sz w:val="28"/>
          <w:szCs w:val="28"/>
        </w:rPr>
      </w:pPr>
      <w:r w:rsidRPr="00FF1EE2">
        <w:rPr>
          <w:sz w:val="28"/>
          <w:szCs w:val="28"/>
        </w:rPr>
        <w:t>1)  0,1 процента в отношении:</w:t>
      </w:r>
    </w:p>
    <w:p w:rsidR="008D5ACE" w:rsidRPr="00FF1EE2" w:rsidRDefault="008D5ACE" w:rsidP="00FF1EE2">
      <w:pPr>
        <w:shd w:val="clear" w:color="auto" w:fill="FFFFFF"/>
        <w:jc w:val="both"/>
        <w:rPr>
          <w:sz w:val="28"/>
          <w:szCs w:val="28"/>
        </w:rPr>
      </w:pPr>
      <w:r w:rsidRPr="00FF1EE2">
        <w:rPr>
          <w:sz w:val="28"/>
          <w:szCs w:val="28"/>
        </w:rPr>
        <w:t>жилых домов, жилых помещений;</w:t>
      </w:r>
    </w:p>
    <w:p w:rsidR="008D5ACE" w:rsidRPr="00FF1EE2" w:rsidRDefault="008D5ACE" w:rsidP="00FF1EE2">
      <w:pPr>
        <w:shd w:val="clear" w:color="auto" w:fill="FFFFFF"/>
        <w:jc w:val="both"/>
        <w:rPr>
          <w:sz w:val="28"/>
          <w:szCs w:val="28"/>
        </w:rPr>
      </w:pPr>
      <w:r w:rsidRPr="00FF1EE2">
        <w:rPr>
          <w:sz w:val="28"/>
          <w:szCs w:val="28"/>
        </w:rPr>
        <w:t>объектов незавершенного строительства в случае, если проектируемым назначением таких объектов является жилой дом;</w:t>
      </w:r>
    </w:p>
    <w:p w:rsidR="008D5ACE" w:rsidRPr="00FF1EE2" w:rsidRDefault="008D5ACE" w:rsidP="00FF1EE2">
      <w:pPr>
        <w:shd w:val="clear" w:color="auto" w:fill="FFFFFF"/>
        <w:jc w:val="both"/>
        <w:rPr>
          <w:sz w:val="28"/>
          <w:szCs w:val="28"/>
        </w:rPr>
      </w:pPr>
      <w:r w:rsidRPr="00FF1EE2">
        <w:rPr>
          <w:sz w:val="28"/>
          <w:szCs w:val="28"/>
        </w:rPr>
        <w:t>единых недвижимых комплексов, в состав которых входит хотя бы одно жилое помещение (жилой дом);</w:t>
      </w:r>
    </w:p>
    <w:p w:rsidR="008D5ACE" w:rsidRPr="00FF1EE2" w:rsidRDefault="008D5ACE" w:rsidP="00FF1EE2">
      <w:pPr>
        <w:shd w:val="clear" w:color="auto" w:fill="FFFFFF"/>
        <w:jc w:val="both"/>
        <w:rPr>
          <w:sz w:val="28"/>
          <w:szCs w:val="28"/>
        </w:rPr>
      </w:pPr>
      <w:r w:rsidRPr="00FF1EE2">
        <w:rPr>
          <w:sz w:val="28"/>
          <w:szCs w:val="28"/>
        </w:rPr>
        <w:t>гаражей и машино-мест;</w:t>
      </w:r>
    </w:p>
    <w:p w:rsidR="008D5ACE" w:rsidRPr="00FF1EE2" w:rsidRDefault="008D5ACE" w:rsidP="00FF1EE2">
      <w:pPr>
        <w:shd w:val="clear" w:color="auto" w:fill="FFFFFF"/>
        <w:jc w:val="both"/>
        <w:rPr>
          <w:sz w:val="28"/>
          <w:szCs w:val="28"/>
        </w:rPr>
      </w:pPr>
      <w:r w:rsidRPr="00FF1EE2">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8D5ACE" w:rsidRPr="00FF1EE2" w:rsidRDefault="00C23A57" w:rsidP="00FF1EE2">
      <w:pPr>
        <w:shd w:val="clear" w:color="auto" w:fill="FFFFFF"/>
        <w:jc w:val="both"/>
        <w:rPr>
          <w:sz w:val="28"/>
          <w:szCs w:val="28"/>
        </w:rPr>
      </w:pPr>
      <w:r w:rsidRPr="00FF1EE2">
        <w:rPr>
          <w:sz w:val="28"/>
          <w:szCs w:val="28"/>
        </w:rPr>
        <w:t xml:space="preserve">2) 2 </w:t>
      </w:r>
      <w:r w:rsidR="008D5ACE" w:rsidRPr="00FF1EE2">
        <w:rPr>
          <w:sz w:val="28"/>
          <w:szCs w:val="28"/>
        </w:rPr>
        <w:t>процента в отношении:</w:t>
      </w:r>
    </w:p>
    <w:p w:rsidR="008D5ACE" w:rsidRPr="00FF1EE2" w:rsidRDefault="008D5ACE" w:rsidP="00FF1EE2">
      <w:pPr>
        <w:shd w:val="clear" w:color="auto" w:fill="FFFFFF"/>
        <w:jc w:val="both"/>
        <w:rPr>
          <w:sz w:val="28"/>
          <w:szCs w:val="28"/>
        </w:rPr>
      </w:pPr>
      <w:r w:rsidRPr="00FF1EE2">
        <w:rPr>
          <w:sz w:val="28"/>
          <w:szCs w:val="28"/>
        </w:rPr>
        <w:lastRenderedPageBreak/>
        <w:t>а) объектов налогообложения, включенных в перечень определяемый в соответствии с пунктом 7 статьи 378.2 Налогового Кодекса Российской Федерации;</w:t>
      </w:r>
    </w:p>
    <w:p w:rsidR="008D5ACE" w:rsidRPr="00FF1EE2" w:rsidRDefault="008D5ACE" w:rsidP="00FF1EE2">
      <w:pPr>
        <w:shd w:val="clear" w:color="auto" w:fill="FFFFFF"/>
        <w:jc w:val="both"/>
        <w:rPr>
          <w:sz w:val="28"/>
          <w:szCs w:val="28"/>
        </w:rPr>
      </w:pPr>
      <w:r w:rsidRPr="00FF1EE2">
        <w:rPr>
          <w:sz w:val="28"/>
          <w:szCs w:val="28"/>
        </w:rPr>
        <w:t>б) в отношении объектов налогообложения, предусмотренных абзацем вторым пункта 10 статьи 378.2 Налогового Кодекса Российской Федерации;</w:t>
      </w:r>
    </w:p>
    <w:p w:rsidR="008D5ACE" w:rsidRPr="00FF1EE2" w:rsidRDefault="008D5ACE" w:rsidP="00FF1EE2">
      <w:pPr>
        <w:shd w:val="clear" w:color="auto" w:fill="FFFFFF"/>
        <w:jc w:val="both"/>
        <w:rPr>
          <w:sz w:val="28"/>
          <w:szCs w:val="28"/>
        </w:rPr>
      </w:pPr>
      <w:r w:rsidRPr="00FF1EE2">
        <w:rPr>
          <w:sz w:val="28"/>
          <w:szCs w:val="28"/>
        </w:rPr>
        <w:t>в) в отношении объектов налогообложения, кадастровая стоимость каждого из которых превышает 300 миллионов рублей.</w:t>
      </w:r>
    </w:p>
    <w:p w:rsidR="008D5ACE" w:rsidRPr="00FF1EE2" w:rsidRDefault="00C23A57" w:rsidP="00FF1EE2">
      <w:pPr>
        <w:shd w:val="clear" w:color="auto" w:fill="FFFFFF"/>
        <w:jc w:val="both"/>
        <w:rPr>
          <w:sz w:val="28"/>
          <w:szCs w:val="28"/>
        </w:rPr>
      </w:pPr>
      <w:r w:rsidRPr="00FF1EE2">
        <w:rPr>
          <w:sz w:val="28"/>
          <w:szCs w:val="28"/>
        </w:rPr>
        <w:t>3) 0,5</w:t>
      </w:r>
      <w:r w:rsidR="008D5ACE" w:rsidRPr="00FF1EE2">
        <w:rPr>
          <w:sz w:val="28"/>
          <w:szCs w:val="28"/>
        </w:rPr>
        <w:t xml:space="preserve"> процента в отношении прочих объектов налогообложения.</w:t>
      </w:r>
    </w:p>
    <w:p w:rsidR="008D5ACE" w:rsidRPr="00FF1EE2" w:rsidRDefault="008D5ACE" w:rsidP="00FF1EE2">
      <w:pPr>
        <w:shd w:val="clear" w:color="auto" w:fill="FFFFFF"/>
        <w:jc w:val="both"/>
        <w:rPr>
          <w:sz w:val="28"/>
          <w:szCs w:val="28"/>
        </w:rPr>
      </w:pPr>
      <w:r w:rsidRPr="00FF1EE2">
        <w:rPr>
          <w:sz w:val="28"/>
          <w:szCs w:val="28"/>
        </w:rPr>
        <w:t xml:space="preserve">4. Установить налоговые вычеты по налогу на имущество физических лиц в следующих размерах: </w:t>
      </w:r>
    </w:p>
    <w:p w:rsidR="008D5ACE" w:rsidRPr="00FF1EE2" w:rsidRDefault="008D5ACE" w:rsidP="00FF1EE2">
      <w:pPr>
        <w:shd w:val="clear" w:color="auto" w:fill="FFFFFF"/>
        <w:jc w:val="both"/>
        <w:rPr>
          <w:sz w:val="28"/>
          <w:szCs w:val="28"/>
        </w:rPr>
      </w:pPr>
      <w:r w:rsidRPr="00FF1EE2">
        <w:rPr>
          <w:sz w:val="28"/>
          <w:szCs w:val="28"/>
        </w:rPr>
        <w:t>1) в отношении квартиры - налоговая база определяется как ее кадастровая стоимость, уменьшенная на величину кадастровой стоимости 20 квадратных метров общей площади этой квартиры.</w:t>
      </w:r>
    </w:p>
    <w:p w:rsidR="008D5ACE" w:rsidRPr="00FF1EE2" w:rsidRDefault="008D5ACE" w:rsidP="00FF1EE2">
      <w:pPr>
        <w:shd w:val="clear" w:color="auto" w:fill="FFFFFF"/>
        <w:jc w:val="both"/>
        <w:rPr>
          <w:sz w:val="28"/>
          <w:szCs w:val="28"/>
        </w:rPr>
      </w:pPr>
      <w:r w:rsidRPr="00FF1EE2">
        <w:rPr>
          <w:sz w:val="28"/>
          <w:szCs w:val="28"/>
        </w:rPr>
        <w:t>2) в отношении комнаты- налоговая база определяется как ее кадастровая стоимость, уменьшенная на величину кадастровой стоимости 10 квадратных метров площади этой комнаты.</w:t>
      </w:r>
    </w:p>
    <w:p w:rsidR="008D5ACE" w:rsidRPr="00FF1EE2" w:rsidRDefault="008D5ACE" w:rsidP="00FF1EE2">
      <w:pPr>
        <w:shd w:val="clear" w:color="auto" w:fill="FFFFFF"/>
        <w:jc w:val="both"/>
        <w:rPr>
          <w:sz w:val="28"/>
          <w:szCs w:val="28"/>
        </w:rPr>
      </w:pPr>
      <w:r w:rsidRPr="00FF1EE2">
        <w:rPr>
          <w:sz w:val="28"/>
          <w:szCs w:val="28"/>
        </w:rPr>
        <w:t>3) в отношении жилого дома- налоговая база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8D5ACE" w:rsidRPr="00FF1EE2" w:rsidRDefault="008D5ACE" w:rsidP="00FF1EE2">
      <w:pPr>
        <w:shd w:val="clear" w:color="auto" w:fill="FFFFFF"/>
        <w:jc w:val="both"/>
        <w:rPr>
          <w:sz w:val="28"/>
          <w:szCs w:val="28"/>
        </w:rPr>
      </w:pPr>
      <w:r w:rsidRPr="00FF1EE2">
        <w:rPr>
          <w:sz w:val="28"/>
          <w:szCs w:val="28"/>
        </w:rPr>
        <w:t>4) в отношении единого недвижимого комплекса, в состав  которого входят хотя бы одно жилое помещение  (жилой дом) – налоговая база определяется как его кадастровая стоимость, уменьшенная на один миллион рублей.</w:t>
      </w:r>
    </w:p>
    <w:p w:rsidR="008D5ACE" w:rsidRPr="00FF1EE2" w:rsidRDefault="008D5ACE" w:rsidP="00FF1EE2">
      <w:pPr>
        <w:shd w:val="clear" w:color="auto" w:fill="FFFFFF"/>
        <w:jc w:val="both"/>
        <w:rPr>
          <w:sz w:val="28"/>
          <w:szCs w:val="28"/>
        </w:rPr>
      </w:pPr>
      <w:r w:rsidRPr="00FF1EE2">
        <w:rPr>
          <w:sz w:val="28"/>
          <w:szCs w:val="28"/>
        </w:rPr>
        <w:t>5. Установить, что помимо лиц, определенных статьей 407 Налогового кодекса Российской Федерации, право на налоговые льготы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имеют члены народных дружин.</w:t>
      </w:r>
    </w:p>
    <w:p w:rsidR="008D5ACE" w:rsidRPr="00FF1EE2" w:rsidRDefault="008D5ACE" w:rsidP="00FF1EE2">
      <w:pPr>
        <w:shd w:val="clear" w:color="auto" w:fill="FFFFFF"/>
        <w:jc w:val="both"/>
        <w:rPr>
          <w:sz w:val="28"/>
          <w:szCs w:val="28"/>
        </w:rPr>
      </w:pPr>
      <w:r w:rsidRPr="00FF1EE2">
        <w:rPr>
          <w:sz w:val="28"/>
          <w:szCs w:val="28"/>
        </w:rPr>
        <w:tab/>
        <w:t>Налоговая льгота не распространяется в отношении объектов налогообложения, указанных в подпункте 2 пункта 3 настоящего решения.</w:t>
      </w:r>
    </w:p>
    <w:p w:rsidR="008D5ACE" w:rsidRPr="00FF1EE2" w:rsidRDefault="008D5ACE" w:rsidP="00FF1EE2">
      <w:pPr>
        <w:shd w:val="clear" w:color="auto" w:fill="FFFFFF"/>
        <w:jc w:val="both"/>
        <w:rPr>
          <w:sz w:val="28"/>
          <w:szCs w:val="28"/>
        </w:rPr>
      </w:pPr>
      <w:r w:rsidRPr="00FF1EE2">
        <w:rPr>
          <w:sz w:val="28"/>
          <w:szCs w:val="28"/>
        </w:rPr>
        <w:tab/>
        <w:t>Основание и порядок применения налоговой льготы осуществляется в соответствии со статьей 407 Налогового кодекса Российской Федерации. Документом, подтверждающим право на льготу, является удостоверение народного дружинника по форме установленной Законом Оренбургской области от 06.03.2015 № 3035/837-ОЗ «О регулировании отдельных вопросов, связанных с участием граждан и их объединений в охране общественного порядка в Оренбургской области».</w:t>
      </w:r>
    </w:p>
    <w:p w:rsidR="008D5ACE" w:rsidRPr="00FF1EE2" w:rsidRDefault="008D5ACE" w:rsidP="00FF1EE2">
      <w:pPr>
        <w:pStyle w:val="1"/>
        <w:jc w:val="both"/>
        <w:rPr>
          <w:szCs w:val="28"/>
        </w:rPr>
      </w:pPr>
      <w:r w:rsidRPr="00FF1EE2">
        <w:rPr>
          <w:bCs/>
          <w:szCs w:val="28"/>
        </w:rPr>
        <w:t>6. Признать утратившим силу решение Совета депутатов муниципального образования</w:t>
      </w:r>
      <w:r w:rsidR="005E2096" w:rsidRPr="00FF1EE2">
        <w:rPr>
          <w:szCs w:val="28"/>
        </w:rPr>
        <w:t xml:space="preserve"> Воздвиженский сельсовет</w:t>
      </w:r>
      <w:r w:rsidR="00FF1EE2" w:rsidRPr="00FF1EE2">
        <w:rPr>
          <w:bCs/>
          <w:szCs w:val="28"/>
        </w:rPr>
        <w:t xml:space="preserve"> </w:t>
      </w:r>
      <w:r w:rsidR="005E2096" w:rsidRPr="00FF1EE2">
        <w:rPr>
          <w:bCs/>
          <w:szCs w:val="28"/>
        </w:rPr>
        <w:t>№128 от 06.11.2014</w:t>
      </w:r>
      <w:r w:rsidRPr="00FF1EE2">
        <w:rPr>
          <w:bCs/>
          <w:szCs w:val="28"/>
        </w:rPr>
        <w:t xml:space="preserve"> «</w:t>
      </w:r>
      <w:r w:rsidRPr="00FF1EE2">
        <w:rPr>
          <w:szCs w:val="28"/>
        </w:rPr>
        <w:t>Об установлении налога на имущество физических лиц</w:t>
      </w:r>
      <w:r w:rsidRPr="00FF1EE2">
        <w:rPr>
          <w:bCs/>
          <w:szCs w:val="28"/>
        </w:rPr>
        <w:t>»</w:t>
      </w:r>
    </w:p>
    <w:p w:rsidR="008D5ACE" w:rsidRPr="00FF1EE2" w:rsidRDefault="008D5ACE" w:rsidP="00FF1EE2">
      <w:pPr>
        <w:shd w:val="clear" w:color="auto" w:fill="FFFFFF"/>
        <w:tabs>
          <w:tab w:val="left" w:pos="946"/>
        </w:tabs>
        <w:jc w:val="both"/>
        <w:rPr>
          <w:sz w:val="28"/>
          <w:szCs w:val="28"/>
        </w:rPr>
      </w:pPr>
      <w:r w:rsidRPr="00FF1EE2">
        <w:rPr>
          <w:sz w:val="28"/>
          <w:szCs w:val="28"/>
        </w:rPr>
        <w:t xml:space="preserve">      7</w:t>
      </w:r>
      <w:r w:rsidRPr="00FF1EE2">
        <w:rPr>
          <w:spacing w:val="-5"/>
          <w:sz w:val="28"/>
          <w:szCs w:val="28"/>
        </w:rPr>
        <w:t xml:space="preserve">. Настоящее решение вступает в силу с 1 января 2017 года, но не раннее одного месяца со дня его официального опубликования. </w:t>
      </w:r>
    </w:p>
    <w:p w:rsidR="008D5ACE" w:rsidRPr="00FF1EE2" w:rsidRDefault="008D5ACE" w:rsidP="00FF1EE2">
      <w:pPr>
        <w:tabs>
          <w:tab w:val="left" w:pos="2977"/>
          <w:tab w:val="left" w:pos="7860"/>
        </w:tabs>
        <w:rPr>
          <w:color w:val="800000"/>
          <w:sz w:val="28"/>
          <w:szCs w:val="28"/>
        </w:rPr>
      </w:pPr>
      <w:r w:rsidRPr="00FF1EE2">
        <w:rPr>
          <w:sz w:val="28"/>
          <w:szCs w:val="28"/>
        </w:rPr>
        <w:t xml:space="preserve">                                                              </w:t>
      </w:r>
      <w:r w:rsidRPr="00FF1EE2">
        <w:rPr>
          <w:color w:val="800000"/>
          <w:sz w:val="28"/>
          <w:szCs w:val="28"/>
        </w:rPr>
        <w:t xml:space="preserve">               </w:t>
      </w:r>
      <w:r w:rsidRPr="00FF1EE2">
        <w:rPr>
          <w:sz w:val="28"/>
          <w:szCs w:val="28"/>
        </w:rPr>
        <w:t xml:space="preserve">                                            </w:t>
      </w:r>
    </w:p>
    <w:p w:rsidR="008D5ACE" w:rsidRPr="00FF1EE2" w:rsidRDefault="008D5ACE" w:rsidP="00FF1EE2">
      <w:pPr>
        <w:tabs>
          <w:tab w:val="left" w:pos="7860"/>
        </w:tabs>
        <w:rPr>
          <w:sz w:val="28"/>
          <w:szCs w:val="28"/>
        </w:rPr>
      </w:pPr>
      <w:r w:rsidRPr="00FF1EE2">
        <w:rPr>
          <w:sz w:val="28"/>
          <w:szCs w:val="28"/>
        </w:rPr>
        <w:t xml:space="preserve">      Главы муниципального образования                               </w:t>
      </w:r>
      <w:r w:rsidR="00FF1EE2" w:rsidRPr="00FF1EE2">
        <w:rPr>
          <w:sz w:val="28"/>
          <w:szCs w:val="28"/>
        </w:rPr>
        <w:t>А.Н. Тураев</w:t>
      </w:r>
    </w:p>
    <w:p w:rsidR="0047792C" w:rsidRPr="00FF1EE2" w:rsidRDefault="00C84F8E" w:rsidP="00FF1EE2">
      <w:pPr>
        <w:rPr>
          <w:sz w:val="28"/>
          <w:szCs w:val="28"/>
        </w:rPr>
      </w:pPr>
    </w:p>
    <w:sectPr w:rsidR="0047792C" w:rsidRPr="00FF1EE2" w:rsidSect="001D45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D3425"/>
    <w:multiLevelType w:val="hybridMultilevel"/>
    <w:tmpl w:val="40460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5ACE"/>
    <w:rsid w:val="001C0A03"/>
    <w:rsid w:val="001D4536"/>
    <w:rsid w:val="004F6276"/>
    <w:rsid w:val="005E2096"/>
    <w:rsid w:val="00814E76"/>
    <w:rsid w:val="008D5ACE"/>
    <w:rsid w:val="009503D7"/>
    <w:rsid w:val="00C23A57"/>
    <w:rsid w:val="00C84F8E"/>
    <w:rsid w:val="00C92249"/>
    <w:rsid w:val="00CE66BA"/>
    <w:rsid w:val="00FF1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CE"/>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8D5ACE"/>
    <w:pPr>
      <w:keepNext/>
      <w:jc w:val="center"/>
      <w:outlineLvl w:val="0"/>
    </w:pPr>
    <w:rPr>
      <w:color w:val="000000"/>
      <w:sz w:val="28"/>
    </w:rPr>
  </w:style>
  <w:style w:type="paragraph" w:styleId="2">
    <w:name w:val="heading 2"/>
    <w:basedOn w:val="a"/>
    <w:next w:val="a"/>
    <w:link w:val="20"/>
    <w:semiHidden/>
    <w:unhideWhenUsed/>
    <w:qFormat/>
    <w:rsid w:val="008D5ACE"/>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8D5ACE"/>
    <w:rPr>
      <w:rFonts w:ascii="Times New Roman" w:eastAsia="Times New Roman" w:hAnsi="Times New Roman" w:cs="Times New Roman"/>
      <w:color w:val="000000"/>
      <w:sz w:val="28"/>
      <w:szCs w:val="24"/>
      <w:lang w:eastAsia="ru-RU"/>
    </w:rPr>
  </w:style>
  <w:style w:type="character" w:customStyle="1" w:styleId="20">
    <w:name w:val="Заголовок 2 Знак"/>
    <w:basedOn w:val="a0"/>
    <w:link w:val="2"/>
    <w:semiHidden/>
    <w:rsid w:val="008D5ACE"/>
    <w:rPr>
      <w:rFonts w:ascii="Times New Roman" w:eastAsia="Times New Roman" w:hAnsi="Times New Roman" w:cs="Times New Roman"/>
      <w:b/>
      <w:bCs/>
      <w:sz w:val="28"/>
      <w:szCs w:val="24"/>
      <w:lang w:eastAsia="ru-RU"/>
    </w:rPr>
  </w:style>
  <w:style w:type="paragraph" w:styleId="a3">
    <w:name w:val="List Paragraph"/>
    <w:basedOn w:val="a"/>
    <w:uiPriority w:val="34"/>
    <w:qFormat/>
    <w:rsid w:val="008D5ACE"/>
    <w:pPr>
      <w:ind w:left="720"/>
      <w:contextualSpacing/>
    </w:pPr>
  </w:style>
  <w:style w:type="paragraph" w:styleId="a4">
    <w:name w:val="Balloon Text"/>
    <w:basedOn w:val="a"/>
    <w:link w:val="a5"/>
    <w:uiPriority w:val="99"/>
    <w:semiHidden/>
    <w:unhideWhenUsed/>
    <w:rsid w:val="00C23A57"/>
    <w:rPr>
      <w:rFonts w:ascii="Tahoma" w:hAnsi="Tahoma" w:cs="Tahoma"/>
      <w:sz w:val="16"/>
      <w:szCs w:val="16"/>
    </w:rPr>
  </w:style>
  <w:style w:type="character" w:customStyle="1" w:styleId="a5">
    <w:name w:val="Текст выноски Знак"/>
    <w:basedOn w:val="a0"/>
    <w:link w:val="a4"/>
    <w:uiPriority w:val="99"/>
    <w:semiHidden/>
    <w:rsid w:val="00C23A5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710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6</cp:revision>
  <cp:lastPrinted>2016-11-24T09:03:00Z</cp:lastPrinted>
  <dcterms:created xsi:type="dcterms:W3CDTF">2016-11-18T05:52:00Z</dcterms:created>
  <dcterms:modified xsi:type="dcterms:W3CDTF">2016-11-24T10:18:00Z</dcterms:modified>
</cp:coreProperties>
</file>